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19BB" w:rsidRPr="003F5EF0" w:rsidRDefault="00E019BB" w:rsidP="003F5EF0">
      <w:pPr>
        <w:pageBreakBefore/>
        <w:rPr>
          <w:sz w:val="28"/>
          <w:szCs w:val="28"/>
        </w:rPr>
      </w:pPr>
      <w:r w:rsidRPr="006376C9">
        <w:rPr>
          <w:sz w:val="28"/>
          <w:szCs w:val="28"/>
        </w:rPr>
        <w:t>УДК 314.1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E517A5">
        <w:rPr>
          <w:i/>
          <w:iCs/>
          <w:sz w:val="28"/>
          <w:szCs w:val="28"/>
        </w:rPr>
        <w:t>Н.А. Гук, ст. преп.</w:t>
      </w:r>
    </w:p>
    <w:p w:rsidR="00E019BB" w:rsidRPr="00E517A5" w:rsidRDefault="00E019BB" w:rsidP="00E517A5">
      <w:pPr>
        <w:spacing w:line="360" w:lineRule="auto"/>
        <w:ind w:firstLine="567"/>
        <w:jc w:val="right"/>
        <w:rPr>
          <w:i/>
          <w:iCs/>
          <w:sz w:val="28"/>
          <w:szCs w:val="28"/>
        </w:rPr>
      </w:pPr>
      <w:r w:rsidRPr="00E517A5">
        <w:rPr>
          <w:i/>
          <w:iCs/>
          <w:sz w:val="28"/>
          <w:szCs w:val="28"/>
        </w:rPr>
        <w:t>И.В. Назаренко, студентка</w:t>
      </w:r>
    </w:p>
    <w:p w:rsidR="00E019BB" w:rsidRPr="00E517A5" w:rsidRDefault="00E019BB" w:rsidP="00E517A5">
      <w:pPr>
        <w:spacing w:line="360" w:lineRule="auto"/>
        <w:ind w:firstLine="567"/>
        <w:jc w:val="right"/>
        <w:rPr>
          <w:i/>
          <w:iCs/>
          <w:sz w:val="28"/>
          <w:szCs w:val="28"/>
        </w:rPr>
      </w:pPr>
      <w:r w:rsidRPr="00E517A5">
        <w:rPr>
          <w:i/>
          <w:iCs/>
          <w:sz w:val="28"/>
          <w:szCs w:val="28"/>
        </w:rPr>
        <w:t>Рыбницкий филиал ПГУ им. Т.Г. Шевченко</w:t>
      </w:r>
    </w:p>
    <w:p w:rsidR="00E019BB" w:rsidRPr="00E517A5" w:rsidRDefault="00E019BB" w:rsidP="00E517A5">
      <w:pPr>
        <w:spacing w:line="360" w:lineRule="auto"/>
        <w:ind w:firstLine="567"/>
        <w:jc w:val="right"/>
        <w:rPr>
          <w:i/>
          <w:iCs/>
          <w:sz w:val="28"/>
          <w:szCs w:val="28"/>
        </w:rPr>
      </w:pPr>
      <w:r w:rsidRPr="00E517A5">
        <w:rPr>
          <w:i/>
          <w:iCs/>
          <w:sz w:val="28"/>
          <w:szCs w:val="28"/>
        </w:rPr>
        <w:t>г. Рыбница, Приднестровье</w:t>
      </w:r>
    </w:p>
    <w:p w:rsidR="00E019BB" w:rsidRPr="00E517A5" w:rsidRDefault="00E019BB" w:rsidP="00E517A5">
      <w:pPr>
        <w:spacing w:line="360" w:lineRule="auto"/>
        <w:ind w:firstLine="567"/>
        <w:jc w:val="right"/>
        <w:rPr>
          <w:b/>
          <w:bCs/>
          <w:sz w:val="28"/>
          <w:szCs w:val="28"/>
        </w:rPr>
      </w:pPr>
    </w:p>
    <w:p w:rsidR="00E019BB" w:rsidRPr="00E517A5" w:rsidRDefault="00E019BB" w:rsidP="00E517A5">
      <w:pPr>
        <w:spacing w:line="360" w:lineRule="auto"/>
        <w:jc w:val="center"/>
        <w:rPr>
          <w:b/>
          <w:bCs/>
          <w:sz w:val="28"/>
          <w:szCs w:val="28"/>
        </w:rPr>
      </w:pPr>
      <w:r w:rsidRPr="00E517A5">
        <w:rPr>
          <w:b/>
          <w:bCs/>
          <w:sz w:val="28"/>
          <w:szCs w:val="28"/>
        </w:rPr>
        <w:t>ЧИСЛЕННОСТЬ НАСЕЛЕНИЯ И ЭКОНОМИЧЕСКОЕ РАЗВИТИЕ ПМР</w:t>
      </w:r>
    </w:p>
    <w:p w:rsidR="00E019BB" w:rsidRPr="00E517A5" w:rsidRDefault="00E019BB" w:rsidP="00E517A5">
      <w:pPr>
        <w:spacing w:line="360" w:lineRule="auto"/>
        <w:ind w:firstLine="567"/>
        <w:jc w:val="right"/>
        <w:rPr>
          <w:b/>
          <w:bCs/>
          <w:sz w:val="28"/>
          <w:szCs w:val="28"/>
        </w:rPr>
      </w:pPr>
    </w:p>
    <w:p w:rsidR="00E019BB" w:rsidRPr="00F05533" w:rsidRDefault="00E019BB" w:rsidP="00F05533">
      <w:pPr>
        <w:widowControl w:val="0"/>
        <w:tabs>
          <w:tab w:val="left" w:pos="994"/>
        </w:tabs>
        <w:ind w:firstLine="567"/>
        <w:jc w:val="both"/>
        <w:rPr>
          <w:i/>
          <w:iCs/>
          <w:sz w:val="24"/>
          <w:szCs w:val="24"/>
        </w:rPr>
      </w:pPr>
      <w:r w:rsidRPr="00F05533">
        <w:rPr>
          <w:i/>
          <w:iCs/>
          <w:sz w:val="24"/>
          <w:szCs w:val="24"/>
        </w:rPr>
        <w:t>В статье рассмотрены подходы к анализу взаимосвязи между ростом населения и экономическим развитием государства. Реальные экономические показатели сопоставлены с динамикой численности населения в ПМР. Изложены направления стабилизации демографической ситуации.</w:t>
      </w:r>
    </w:p>
    <w:p w:rsidR="00E019BB" w:rsidRPr="00F05533" w:rsidRDefault="00E019BB" w:rsidP="00F05533">
      <w:pPr>
        <w:widowControl w:val="0"/>
        <w:tabs>
          <w:tab w:val="left" w:pos="994"/>
        </w:tabs>
        <w:ind w:firstLine="567"/>
        <w:jc w:val="both"/>
        <w:rPr>
          <w:i/>
          <w:iCs/>
          <w:sz w:val="24"/>
          <w:szCs w:val="24"/>
        </w:rPr>
      </w:pPr>
      <w:r w:rsidRPr="00F05533">
        <w:rPr>
          <w:b/>
          <w:bCs/>
          <w:i/>
          <w:iCs/>
          <w:sz w:val="24"/>
          <w:szCs w:val="24"/>
        </w:rPr>
        <w:t>Ключевые слова:</w:t>
      </w:r>
      <w:r w:rsidRPr="00F05533">
        <w:rPr>
          <w:i/>
          <w:iCs/>
          <w:sz w:val="24"/>
          <w:szCs w:val="24"/>
        </w:rPr>
        <w:t xml:space="preserve"> численность населения, демографические факторы, среднемесячная заработная плата.</w:t>
      </w:r>
    </w:p>
    <w:p w:rsidR="00E019BB" w:rsidRDefault="00E019BB" w:rsidP="00E517A5">
      <w:pPr>
        <w:widowControl w:val="0"/>
        <w:tabs>
          <w:tab w:val="left" w:pos="994"/>
        </w:tabs>
        <w:spacing w:line="360" w:lineRule="auto"/>
        <w:ind w:firstLine="567"/>
        <w:jc w:val="both"/>
        <w:rPr>
          <w:sz w:val="28"/>
          <w:szCs w:val="28"/>
        </w:rPr>
      </w:pPr>
    </w:p>
    <w:p w:rsidR="00E019BB" w:rsidRPr="00203731" w:rsidRDefault="00E019BB" w:rsidP="00E517A5">
      <w:pPr>
        <w:widowControl w:val="0"/>
        <w:tabs>
          <w:tab w:val="left" w:pos="994"/>
        </w:tabs>
        <w:spacing w:line="360" w:lineRule="auto"/>
        <w:ind w:firstLine="567"/>
        <w:jc w:val="both"/>
        <w:rPr>
          <w:sz w:val="28"/>
          <w:szCs w:val="28"/>
        </w:rPr>
      </w:pPr>
    </w:p>
    <w:p w:rsidR="00E019BB" w:rsidRPr="00E517A5" w:rsidRDefault="00E019BB" w:rsidP="00E517A5">
      <w:pPr>
        <w:widowControl w:val="0"/>
        <w:tabs>
          <w:tab w:val="left" w:pos="994"/>
        </w:tabs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 xml:space="preserve">Современная экономика определяет, что важнейшим фактором роста ВВП государства является увеличение производительности труда и улучшение структуры занятости наряду с положительной демографической динамикой. Поддержание и приумножение населения как экономического ресурса в настоящее время требует от общества значительных затрат. Но без этого не может быть инновационного развития общества, приводящего к росту экономических показателей. </w:t>
      </w:r>
    </w:p>
    <w:p w:rsidR="00E019BB" w:rsidRPr="00E517A5" w:rsidRDefault="00E019BB" w:rsidP="00E517A5">
      <w:pPr>
        <w:widowControl w:val="0"/>
        <w:tabs>
          <w:tab w:val="left" w:pos="994"/>
        </w:tabs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Динамика численности населения тесно связана с проблемами продовольственной безопасности и бедности. Значительная часть населения мира испытывает недостаток основных условий жизни, уровня доходов и обеспеченности социальными услугами. Совокупность экологических, продовольственных проблем и необходимость перераспределения доходов в мире напрямую влияет на социально-политическую среду в виде расхождения интересов развитых и бедных развивающихся стран.</w:t>
      </w:r>
    </w:p>
    <w:p w:rsidR="00E019BB" w:rsidRPr="00E517A5" w:rsidRDefault="00E019BB" w:rsidP="00E517A5">
      <w:pPr>
        <w:widowControl w:val="0"/>
        <w:tabs>
          <w:tab w:val="left" w:pos="994"/>
        </w:tabs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Существует несколько подходов к анализу взаимосвязи между ростом населения и экономическим развитием государства.</w:t>
      </w:r>
    </w:p>
    <w:p w:rsidR="00E019BB" w:rsidRPr="00E517A5" w:rsidRDefault="00E019BB" w:rsidP="00E517A5">
      <w:pPr>
        <w:widowControl w:val="0"/>
        <w:tabs>
          <w:tab w:val="left" w:pos="994"/>
        </w:tabs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Один подход связан с постулатами английского священника и экономиста Т. Мальтуса, который противопоставлял два фактора население и природные ресурсы. Т. Мальтус интерпретировал демографический рост как независимую переменную, которая лишь корректируется действием «разрушительных» (войны, эпидемии, голод) и «предупредительных» (безбрачие и т.д.) социальных факторов.</w:t>
      </w:r>
    </w:p>
    <w:p w:rsidR="00E019BB" w:rsidRPr="00E517A5" w:rsidRDefault="00E019BB" w:rsidP="00E517A5">
      <w:pPr>
        <w:widowControl w:val="0"/>
        <w:tabs>
          <w:tab w:val="left" w:pos="994"/>
        </w:tabs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 xml:space="preserve">Другой подход состоит в том, что демографические факторы выступают функцией социального и экономического развития. Данный подход, соответствует положениям А. Смита, который считал, что увеличение населения может ускорять экономическое развитие, способствуя техническим нововведениям. </w:t>
      </w:r>
    </w:p>
    <w:p w:rsidR="00E019BB" w:rsidRPr="00E517A5" w:rsidRDefault="00E019BB" w:rsidP="00E517A5">
      <w:pPr>
        <w:widowControl w:val="0"/>
        <w:tabs>
          <w:tab w:val="left" w:pos="994"/>
        </w:tabs>
        <w:spacing w:line="360" w:lineRule="auto"/>
        <w:ind w:firstLine="567"/>
        <w:jc w:val="both"/>
        <w:rPr>
          <w:b/>
          <w:bCs/>
          <w:sz w:val="28"/>
          <w:szCs w:val="28"/>
        </w:rPr>
      </w:pPr>
      <w:r w:rsidRPr="00E517A5">
        <w:rPr>
          <w:sz w:val="28"/>
          <w:szCs w:val="28"/>
        </w:rPr>
        <w:t>Данный подход соответствует современной концепции «экономии масштаба». Дело в том, что влияние роста населения на экономический рост является комплексным. Такие проблемы, как безработица, недоедание, вызываются многими факторами, и сосредоточение внимания только на снижении роста населения без последовательного учета других основных причин таких явлений может вести к неправильным результатам.</w:t>
      </w:r>
    </w:p>
    <w:p w:rsidR="00E019BB" w:rsidRPr="00E517A5" w:rsidRDefault="00E019BB" w:rsidP="00E517A5">
      <w:pPr>
        <w:widowControl w:val="0"/>
        <w:tabs>
          <w:tab w:val="left" w:pos="994"/>
        </w:tabs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 xml:space="preserve">Население и другие экономические ресурсы как основа процесса производства тесно взаимосвязаны. Эти отношения очень подвижны, эластичны, и поэтому результаты их анализа в разные периоды времени могут быть различны. В короткий или средний по продолжительности период времени изменения в численности населения могут выступать важной переменной, но в более длительный период другие переменные будут изменяться, приспосабливаясь к увеличению или уменьшению населения. Поэтому, учитывая указанную специфику, на наш взгляд целесообразно проанализировать соотношения между динамикой численности населения и основными показателями социально-экономического развития страны в краткосрочном периоде. </w:t>
      </w:r>
    </w:p>
    <w:p w:rsidR="00E019BB" w:rsidRPr="00E517A5" w:rsidRDefault="00E019BB" w:rsidP="00E517A5">
      <w:pPr>
        <w:widowControl w:val="0"/>
        <w:tabs>
          <w:tab w:val="left" w:pos="994"/>
        </w:tabs>
        <w:spacing w:line="360" w:lineRule="auto"/>
        <w:ind w:firstLine="567"/>
        <w:jc w:val="both"/>
        <w:rPr>
          <w:b/>
          <w:bCs/>
          <w:sz w:val="28"/>
          <w:szCs w:val="28"/>
        </w:rPr>
      </w:pPr>
      <w:r w:rsidRPr="00E517A5">
        <w:rPr>
          <w:sz w:val="28"/>
          <w:szCs w:val="28"/>
        </w:rPr>
        <w:t>Рост населения в мире не был плавным. В отдельных странах и регионах он ускорялся, в других оставался неизменным или сокращался. При этом основные приросты населения обеспечиваются развивающимися странами. За последние 100 лет они обеспечили более 85% общемирового прироста населения. Согласно расчетам,</w:t>
      </w:r>
      <w:r w:rsidRPr="00E517A5">
        <w:rPr>
          <w:color w:val="FF0000"/>
          <w:sz w:val="28"/>
          <w:szCs w:val="28"/>
        </w:rPr>
        <w:t xml:space="preserve"> </w:t>
      </w:r>
      <w:r w:rsidRPr="00E517A5">
        <w:rPr>
          <w:sz w:val="28"/>
          <w:szCs w:val="28"/>
        </w:rPr>
        <w:t>к 2050г. эта доля может составить 97% [2].</w:t>
      </w:r>
    </w:p>
    <w:p w:rsidR="00E019BB" w:rsidRPr="00E517A5" w:rsidRDefault="00E019BB" w:rsidP="00E517A5">
      <w:pPr>
        <w:pStyle w:val="NormalWeb"/>
        <w:spacing w:before="0" w:beforeAutospacing="0" w:after="0" w:afterAutospacing="0" w:line="360" w:lineRule="auto"/>
        <w:ind w:firstLine="567"/>
        <w:jc w:val="both"/>
        <w:rPr>
          <w:b/>
          <w:bCs/>
          <w:sz w:val="28"/>
          <w:szCs w:val="28"/>
        </w:rPr>
      </w:pPr>
      <w:r w:rsidRPr="00E517A5">
        <w:rPr>
          <w:sz w:val="28"/>
          <w:szCs w:val="28"/>
        </w:rPr>
        <w:t xml:space="preserve"> Исследование динамических рядов численности населения России и ПМР за 2007-2013гг. показывает, что в России динамика численности населения была отрицательной вплоть до 2010г. Однако с 2010г. наблюдался прирост населения. Это позволило авторам на основе метода наименьших квадратов смоделировать основную тенденцию в ряду динамики численности населения и сделать положительный прогноз для России на 2014, 2025 и 2050гг. К сожалению, такая тенденция не наблюдается в ПМР, где численность населения ежегодно сокращается так, что к 2025 и 2050гг. данный показатель может достигнуть примерно 460 и 360 тыс. чел. соответственно (табл. 1). </w:t>
      </w:r>
    </w:p>
    <w:p w:rsidR="00E019BB" w:rsidRPr="00E517A5" w:rsidRDefault="00E019BB" w:rsidP="00E517A5">
      <w:pPr>
        <w:pStyle w:val="NormalWeb"/>
        <w:spacing w:before="0" w:beforeAutospacing="0" w:after="0" w:afterAutospacing="0" w:line="360" w:lineRule="auto"/>
        <w:ind w:firstLine="567"/>
        <w:jc w:val="right"/>
        <w:rPr>
          <w:b/>
          <w:bCs/>
          <w:sz w:val="28"/>
          <w:szCs w:val="28"/>
        </w:rPr>
      </w:pPr>
      <w:r w:rsidRPr="00E517A5">
        <w:rPr>
          <w:b/>
          <w:bCs/>
          <w:sz w:val="28"/>
          <w:szCs w:val="28"/>
        </w:rPr>
        <w:t>Таблица 1</w:t>
      </w:r>
    </w:p>
    <w:p w:rsidR="00E019BB" w:rsidRPr="00E517A5" w:rsidRDefault="00E019BB" w:rsidP="00E517A5">
      <w:pPr>
        <w:pStyle w:val="Caption"/>
        <w:widowControl w:val="0"/>
        <w:tabs>
          <w:tab w:val="left" w:pos="994"/>
        </w:tabs>
        <w:spacing w:after="0" w:line="360" w:lineRule="auto"/>
        <w:jc w:val="center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E517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Население в России и ПМР в 2007-2013 гг., прогноз на 2014, 2025 и 2050гг.</w:t>
      </w:r>
    </w:p>
    <w:tbl>
      <w:tblPr>
        <w:tblW w:w="913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51"/>
        <w:gridCol w:w="1926"/>
        <w:gridCol w:w="2015"/>
        <w:gridCol w:w="2539"/>
        <w:gridCol w:w="1800"/>
      </w:tblGrid>
      <w:tr w:rsidR="00E019BB" w:rsidRPr="00E517A5">
        <w:trPr>
          <w:cantSplit/>
          <w:trHeight w:val="300"/>
        </w:trPr>
        <w:tc>
          <w:tcPr>
            <w:tcW w:w="851" w:type="dxa"/>
            <w:vMerge w:val="restart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Год</w:t>
            </w:r>
          </w:p>
        </w:tc>
        <w:tc>
          <w:tcPr>
            <w:tcW w:w="1926" w:type="dxa"/>
            <w:vMerge w:val="restart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Численность населения России, тыс.чел.</w:t>
            </w:r>
          </w:p>
        </w:tc>
        <w:tc>
          <w:tcPr>
            <w:tcW w:w="2015" w:type="dxa"/>
            <w:vMerge w:val="restart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Численность населения ПМР, тыс.чел.</w:t>
            </w:r>
          </w:p>
        </w:tc>
        <w:tc>
          <w:tcPr>
            <w:tcW w:w="4339" w:type="dxa"/>
            <w:gridSpan w:val="2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Динамика численности населения по отношению к 2007г., %</w:t>
            </w:r>
          </w:p>
        </w:tc>
      </w:tr>
      <w:tr w:rsidR="00E019BB" w:rsidRPr="00E517A5">
        <w:trPr>
          <w:cantSplit/>
          <w:trHeight w:val="300"/>
        </w:trPr>
        <w:tc>
          <w:tcPr>
            <w:tcW w:w="851" w:type="dxa"/>
            <w:vMerge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</w:p>
        </w:tc>
        <w:tc>
          <w:tcPr>
            <w:tcW w:w="1926" w:type="dxa"/>
            <w:vMerge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</w:p>
        </w:tc>
        <w:tc>
          <w:tcPr>
            <w:tcW w:w="2015" w:type="dxa"/>
            <w:vMerge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Россия</w:t>
            </w:r>
          </w:p>
        </w:tc>
        <w:tc>
          <w:tcPr>
            <w:tcW w:w="1800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ПМР</w:t>
            </w:r>
          </w:p>
        </w:tc>
      </w:tr>
      <w:tr w:rsidR="00E019BB" w:rsidRPr="00E517A5">
        <w:trPr>
          <w:cantSplit/>
          <w:trHeight w:val="300"/>
        </w:trPr>
        <w:tc>
          <w:tcPr>
            <w:tcW w:w="851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2007</w:t>
            </w:r>
          </w:p>
        </w:tc>
        <w:tc>
          <w:tcPr>
            <w:tcW w:w="1926" w:type="dxa"/>
            <w:vAlign w:val="center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142221,0</w:t>
            </w:r>
          </w:p>
        </w:tc>
        <w:tc>
          <w:tcPr>
            <w:tcW w:w="2015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533,5</w:t>
            </w:r>
          </w:p>
        </w:tc>
        <w:tc>
          <w:tcPr>
            <w:tcW w:w="2539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-</w:t>
            </w:r>
          </w:p>
        </w:tc>
        <w:tc>
          <w:tcPr>
            <w:tcW w:w="1800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-</w:t>
            </w:r>
          </w:p>
        </w:tc>
      </w:tr>
      <w:tr w:rsidR="00E019BB" w:rsidRPr="00E517A5">
        <w:trPr>
          <w:cantSplit/>
          <w:trHeight w:val="300"/>
        </w:trPr>
        <w:tc>
          <w:tcPr>
            <w:tcW w:w="851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2008</w:t>
            </w:r>
          </w:p>
        </w:tc>
        <w:tc>
          <w:tcPr>
            <w:tcW w:w="1926" w:type="dxa"/>
            <w:vAlign w:val="center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142008,8</w:t>
            </w:r>
          </w:p>
        </w:tc>
        <w:tc>
          <w:tcPr>
            <w:tcW w:w="2015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527,5</w:t>
            </w:r>
          </w:p>
        </w:tc>
        <w:tc>
          <w:tcPr>
            <w:tcW w:w="2539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99,85</w:t>
            </w:r>
          </w:p>
        </w:tc>
        <w:tc>
          <w:tcPr>
            <w:tcW w:w="1800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98,88</w:t>
            </w:r>
          </w:p>
        </w:tc>
      </w:tr>
      <w:tr w:rsidR="00E019BB" w:rsidRPr="00E517A5">
        <w:trPr>
          <w:cantSplit/>
          <w:trHeight w:val="300"/>
        </w:trPr>
        <w:tc>
          <w:tcPr>
            <w:tcW w:w="851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2009</w:t>
            </w:r>
          </w:p>
        </w:tc>
        <w:tc>
          <w:tcPr>
            <w:tcW w:w="1926" w:type="dxa"/>
            <w:vAlign w:val="center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141904,0</w:t>
            </w:r>
          </w:p>
        </w:tc>
        <w:tc>
          <w:tcPr>
            <w:tcW w:w="2015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522,5</w:t>
            </w:r>
          </w:p>
        </w:tc>
        <w:tc>
          <w:tcPr>
            <w:tcW w:w="2539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99,78</w:t>
            </w:r>
          </w:p>
        </w:tc>
        <w:tc>
          <w:tcPr>
            <w:tcW w:w="1800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97,94</w:t>
            </w:r>
          </w:p>
        </w:tc>
      </w:tr>
      <w:tr w:rsidR="00E019BB" w:rsidRPr="00E517A5">
        <w:trPr>
          <w:cantSplit/>
          <w:trHeight w:val="300"/>
        </w:trPr>
        <w:tc>
          <w:tcPr>
            <w:tcW w:w="851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2010</w:t>
            </w:r>
          </w:p>
        </w:tc>
        <w:tc>
          <w:tcPr>
            <w:tcW w:w="1926" w:type="dxa"/>
            <w:vAlign w:val="center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142856,5</w:t>
            </w:r>
          </w:p>
        </w:tc>
        <w:tc>
          <w:tcPr>
            <w:tcW w:w="2015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518,0</w:t>
            </w:r>
          </w:p>
        </w:tc>
        <w:tc>
          <w:tcPr>
            <w:tcW w:w="2539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100,45</w:t>
            </w:r>
          </w:p>
        </w:tc>
        <w:tc>
          <w:tcPr>
            <w:tcW w:w="1800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97,09</w:t>
            </w:r>
          </w:p>
        </w:tc>
      </w:tr>
      <w:tr w:rsidR="00E019BB" w:rsidRPr="00E517A5">
        <w:trPr>
          <w:cantSplit/>
          <w:trHeight w:val="300"/>
        </w:trPr>
        <w:tc>
          <w:tcPr>
            <w:tcW w:w="851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2011</w:t>
            </w:r>
          </w:p>
        </w:tc>
        <w:tc>
          <w:tcPr>
            <w:tcW w:w="1926" w:type="dxa"/>
            <w:vAlign w:val="center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142865,4</w:t>
            </w:r>
          </w:p>
        </w:tc>
        <w:tc>
          <w:tcPr>
            <w:tcW w:w="2015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513,4</w:t>
            </w:r>
          </w:p>
        </w:tc>
        <w:tc>
          <w:tcPr>
            <w:tcW w:w="2539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100,45</w:t>
            </w:r>
          </w:p>
        </w:tc>
        <w:tc>
          <w:tcPr>
            <w:tcW w:w="1800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96,23</w:t>
            </w:r>
          </w:p>
        </w:tc>
      </w:tr>
      <w:tr w:rsidR="00E019BB" w:rsidRPr="00E517A5">
        <w:trPr>
          <w:cantSplit/>
          <w:trHeight w:val="315"/>
        </w:trPr>
        <w:tc>
          <w:tcPr>
            <w:tcW w:w="851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2012</w:t>
            </w:r>
          </w:p>
        </w:tc>
        <w:tc>
          <w:tcPr>
            <w:tcW w:w="1926" w:type="dxa"/>
            <w:vAlign w:val="center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143056,4</w:t>
            </w:r>
          </w:p>
        </w:tc>
        <w:tc>
          <w:tcPr>
            <w:tcW w:w="2015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512,5</w:t>
            </w:r>
          </w:p>
        </w:tc>
        <w:tc>
          <w:tcPr>
            <w:tcW w:w="2539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100,59</w:t>
            </w:r>
          </w:p>
        </w:tc>
        <w:tc>
          <w:tcPr>
            <w:tcW w:w="1800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96,06</w:t>
            </w:r>
          </w:p>
        </w:tc>
      </w:tr>
      <w:tr w:rsidR="00E019BB" w:rsidRPr="00E517A5">
        <w:trPr>
          <w:cantSplit/>
          <w:trHeight w:val="300"/>
        </w:trPr>
        <w:tc>
          <w:tcPr>
            <w:tcW w:w="851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2013</w:t>
            </w:r>
          </w:p>
        </w:tc>
        <w:tc>
          <w:tcPr>
            <w:tcW w:w="1926" w:type="dxa"/>
            <w:vAlign w:val="center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143347,1</w:t>
            </w:r>
          </w:p>
        </w:tc>
        <w:tc>
          <w:tcPr>
            <w:tcW w:w="2015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509,4</w:t>
            </w:r>
          </w:p>
        </w:tc>
        <w:tc>
          <w:tcPr>
            <w:tcW w:w="2539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100,79</w:t>
            </w:r>
          </w:p>
        </w:tc>
        <w:tc>
          <w:tcPr>
            <w:tcW w:w="1800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95,48</w:t>
            </w:r>
          </w:p>
        </w:tc>
      </w:tr>
      <w:tr w:rsidR="00E019BB" w:rsidRPr="00E517A5">
        <w:trPr>
          <w:cantSplit/>
          <w:trHeight w:val="300"/>
        </w:trPr>
        <w:tc>
          <w:tcPr>
            <w:tcW w:w="851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rPr>
                <w:b/>
                <w:bCs/>
                <w:i/>
                <w:iCs/>
                <w:sz w:val="28"/>
                <w:szCs w:val="28"/>
              </w:rPr>
            </w:pPr>
            <w:r w:rsidRPr="00E517A5">
              <w:rPr>
                <w:b/>
                <w:bCs/>
                <w:i/>
                <w:iCs/>
                <w:sz w:val="28"/>
                <w:szCs w:val="28"/>
              </w:rPr>
              <w:t>2014</w:t>
            </w:r>
          </w:p>
        </w:tc>
        <w:tc>
          <w:tcPr>
            <w:tcW w:w="1926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E517A5">
              <w:rPr>
                <w:b/>
                <w:bCs/>
                <w:i/>
                <w:iCs/>
                <w:sz w:val="28"/>
                <w:szCs w:val="28"/>
              </w:rPr>
              <w:t>143527,7</w:t>
            </w:r>
          </w:p>
        </w:tc>
        <w:tc>
          <w:tcPr>
            <w:tcW w:w="2015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E517A5">
              <w:rPr>
                <w:b/>
                <w:bCs/>
                <w:i/>
                <w:iCs/>
                <w:sz w:val="28"/>
                <w:szCs w:val="28"/>
              </w:rPr>
              <w:t>503,6</w:t>
            </w:r>
          </w:p>
        </w:tc>
        <w:tc>
          <w:tcPr>
            <w:tcW w:w="2539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E517A5">
              <w:rPr>
                <w:b/>
                <w:bCs/>
                <w:i/>
                <w:iCs/>
                <w:sz w:val="28"/>
                <w:szCs w:val="28"/>
              </w:rPr>
              <w:t>100,92</w:t>
            </w:r>
          </w:p>
        </w:tc>
        <w:tc>
          <w:tcPr>
            <w:tcW w:w="1800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E517A5">
              <w:rPr>
                <w:b/>
                <w:bCs/>
                <w:i/>
                <w:iCs/>
                <w:sz w:val="28"/>
                <w:szCs w:val="28"/>
              </w:rPr>
              <w:t>94,40</w:t>
            </w:r>
          </w:p>
        </w:tc>
      </w:tr>
      <w:tr w:rsidR="00E019BB" w:rsidRPr="00E517A5">
        <w:trPr>
          <w:cantSplit/>
          <w:trHeight w:val="300"/>
        </w:trPr>
        <w:tc>
          <w:tcPr>
            <w:tcW w:w="851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rPr>
                <w:b/>
                <w:bCs/>
                <w:i/>
                <w:iCs/>
                <w:sz w:val="28"/>
                <w:szCs w:val="28"/>
              </w:rPr>
            </w:pPr>
            <w:r w:rsidRPr="00E517A5">
              <w:rPr>
                <w:b/>
                <w:bCs/>
                <w:i/>
                <w:iCs/>
                <w:sz w:val="28"/>
                <w:szCs w:val="28"/>
              </w:rPr>
              <w:t>2025</w:t>
            </w:r>
          </w:p>
        </w:tc>
        <w:tc>
          <w:tcPr>
            <w:tcW w:w="1926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E517A5">
              <w:rPr>
                <w:b/>
                <w:bCs/>
                <w:i/>
                <w:iCs/>
                <w:sz w:val="28"/>
                <w:szCs w:val="28"/>
              </w:rPr>
              <w:t>146055,7</w:t>
            </w:r>
          </w:p>
        </w:tc>
        <w:tc>
          <w:tcPr>
            <w:tcW w:w="2015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E517A5">
              <w:rPr>
                <w:b/>
                <w:bCs/>
                <w:i/>
                <w:iCs/>
                <w:sz w:val="28"/>
                <w:szCs w:val="28"/>
              </w:rPr>
              <w:t>459,9</w:t>
            </w:r>
          </w:p>
        </w:tc>
        <w:tc>
          <w:tcPr>
            <w:tcW w:w="2539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E517A5">
              <w:rPr>
                <w:b/>
                <w:bCs/>
                <w:i/>
                <w:iCs/>
                <w:sz w:val="28"/>
                <w:szCs w:val="28"/>
              </w:rPr>
              <w:t>102,70</w:t>
            </w:r>
          </w:p>
        </w:tc>
        <w:tc>
          <w:tcPr>
            <w:tcW w:w="1800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E517A5">
              <w:rPr>
                <w:b/>
                <w:bCs/>
                <w:i/>
                <w:iCs/>
                <w:sz w:val="28"/>
                <w:szCs w:val="28"/>
              </w:rPr>
              <w:t>86,20</w:t>
            </w:r>
          </w:p>
        </w:tc>
      </w:tr>
      <w:tr w:rsidR="00E019BB" w:rsidRPr="00E517A5">
        <w:trPr>
          <w:cantSplit/>
          <w:trHeight w:val="300"/>
        </w:trPr>
        <w:tc>
          <w:tcPr>
            <w:tcW w:w="851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rPr>
                <w:b/>
                <w:bCs/>
                <w:i/>
                <w:iCs/>
                <w:sz w:val="28"/>
                <w:szCs w:val="28"/>
              </w:rPr>
            </w:pPr>
            <w:r w:rsidRPr="00E517A5">
              <w:rPr>
                <w:b/>
                <w:bCs/>
                <w:i/>
                <w:iCs/>
                <w:sz w:val="28"/>
                <w:szCs w:val="28"/>
              </w:rPr>
              <w:t>2050</w:t>
            </w:r>
          </w:p>
        </w:tc>
        <w:tc>
          <w:tcPr>
            <w:tcW w:w="1926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E517A5">
              <w:rPr>
                <w:b/>
                <w:bCs/>
                <w:i/>
                <w:iCs/>
                <w:sz w:val="28"/>
                <w:szCs w:val="28"/>
              </w:rPr>
              <w:t>151801,1</w:t>
            </w:r>
          </w:p>
        </w:tc>
        <w:tc>
          <w:tcPr>
            <w:tcW w:w="2015" w:type="dxa"/>
          </w:tcPr>
          <w:p w:rsidR="00E019BB" w:rsidRPr="00E517A5" w:rsidRDefault="00E019BB" w:rsidP="00E517A5">
            <w:pPr>
              <w:pStyle w:val="NormalWeb"/>
              <w:keepLines/>
              <w:spacing w:before="0" w:beforeAutospacing="0" w:after="0" w:afterAutospacing="0" w:line="360" w:lineRule="auto"/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E517A5">
              <w:rPr>
                <w:b/>
                <w:bCs/>
                <w:i/>
                <w:iCs/>
                <w:sz w:val="28"/>
                <w:szCs w:val="28"/>
              </w:rPr>
              <w:t>360,4</w:t>
            </w:r>
          </w:p>
        </w:tc>
        <w:tc>
          <w:tcPr>
            <w:tcW w:w="2539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E517A5">
              <w:rPr>
                <w:b/>
                <w:bCs/>
                <w:i/>
                <w:iCs/>
                <w:sz w:val="28"/>
                <w:szCs w:val="28"/>
              </w:rPr>
              <w:t>106,74</w:t>
            </w:r>
          </w:p>
        </w:tc>
        <w:tc>
          <w:tcPr>
            <w:tcW w:w="1800" w:type="dxa"/>
            <w:vAlign w:val="bottom"/>
          </w:tcPr>
          <w:p w:rsidR="00E019BB" w:rsidRPr="00E517A5" w:rsidRDefault="00E019BB" w:rsidP="00E517A5">
            <w:pPr>
              <w:keepLines/>
              <w:spacing w:line="360" w:lineRule="auto"/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E517A5">
              <w:rPr>
                <w:b/>
                <w:bCs/>
                <w:i/>
                <w:iCs/>
                <w:sz w:val="28"/>
                <w:szCs w:val="28"/>
              </w:rPr>
              <w:t>67,55</w:t>
            </w:r>
          </w:p>
        </w:tc>
      </w:tr>
    </w:tbl>
    <w:p w:rsidR="00E019BB" w:rsidRPr="00E517A5" w:rsidRDefault="00E019BB" w:rsidP="00E517A5">
      <w:pPr>
        <w:pStyle w:val="NormalWeb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</w:p>
    <w:p w:rsidR="00E019BB" w:rsidRPr="00E517A5" w:rsidRDefault="00E019BB" w:rsidP="00E517A5">
      <w:pPr>
        <w:pStyle w:val="NormalWeb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На диаграмме, отражающей динамику численности населения (рис. 1), видно, что этот показатель в ПМР постоянно падает. Огромную роль в этом играет большая смертность, а также миграционные процессы.</w:t>
      </w:r>
    </w:p>
    <w:p w:rsidR="00E019BB" w:rsidRPr="00E517A5" w:rsidRDefault="00E019BB" w:rsidP="00E517A5">
      <w:pPr>
        <w:pStyle w:val="NormalWeb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</w:p>
    <w:p w:rsidR="00E019BB" w:rsidRPr="00E517A5" w:rsidRDefault="00E019BB" w:rsidP="00E517A5">
      <w:pPr>
        <w:pStyle w:val="NormalWeb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</w:p>
    <w:p w:rsidR="00E019BB" w:rsidRPr="00E517A5" w:rsidRDefault="00E019BB" w:rsidP="00E517A5">
      <w:pPr>
        <w:pStyle w:val="NormalWeb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276895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8" o:spid="_x0000_i1025" type="#_x0000_t75" alt="IMG_09042013_213235" style="width:418.5pt;height:214.5pt;visibility:visible">
            <v:imagedata r:id="rId5" o:title=""/>
          </v:shape>
        </w:pict>
      </w:r>
    </w:p>
    <w:p w:rsidR="00E019BB" w:rsidRPr="00E517A5" w:rsidRDefault="00E019BB" w:rsidP="00E517A5">
      <w:pPr>
        <w:pStyle w:val="NormalWeb"/>
        <w:spacing w:before="0" w:beforeAutospacing="0" w:after="0" w:afterAutospacing="0" w:line="360" w:lineRule="auto"/>
        <w:ind w:firstLine="567"/>
        <w:jc w:val="center"/>
        <w:rPr>
          <w:sz w:val="28"/>
          <w:szCs w:val="28"/>
        </w:rPr>
      </w:pPr>
      <w:r w:rsidRPr="00E517A5">
        <w:rPr>
          <w:sz w:val="28"/>
          <w:szCs w:val="28"/>
        </w:rPr>
        <w:t>Рис. 1. Динамика численности населения ПМР в 2007-2050 гг.</w:t>
      </w:r>
    </w:p>
    <w:p w:rsidR="00E019BB" w:rsidRPr="00E517A5" w:rsidRDefault="00E019BB" w:rsidP="00E517A5">
      <w:pPr>
        <w:pStyle w:val="NormalWeb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</w:p>
    <w:p w:rsidR="00E019BB" w:rsidRPr="00E517A5" w:rsidRDefault="00E019BB" w:rsidP="00E517A5">
      <w:pPr>
        <w:pStyle w:val="NormalWeb"/>
        <w:spacing w:before="0" w:beforeAutospacing="0" w:after="0" w:afterAutospacing="0" w:line="360" w:lineRule="auto"/>
        <w:ind w:firstLine="567"/>
        <w:jc w:val="both"/>
        <w:rPr>
          <w:sz w:val="28"/>
          <w:szCs w:val="28"/>
          <w:lang w:eastAsia="en-US"/>
        </w:rPr>
      </w:pPr>
      <w:r w:rsidRPr="00E517A5">
        <w:rPr>
          <w:sz w:val="28"/>
          <w:szCs w:val="28"/>
          <w:lang w:eastAsia="en-US"/>
        </w:rPr>
        <w:t>Сегодня экономика республики находится в довольно сложном положении с точки зрения основного макроэкономического показателя – величины Валового внутреннего продукта. В 2012г. ВВП на душу населения в Приднестровье составил 1949,3 доллара США [2]. По данному показателю мы уступаем другим государствам с сопоставимым с Приднестровьем правовым статусом (рис.2). В Нагорно-Карабахской Республике ВВП на душу населения составляет примерно 3200 долларов США, а в Республике Абхазия – 2300 долларов США.</w:t>
      </w:r>
    </w:p>
    <w:p w:rsidR="00E019BB" w:rsidRPr="00E517A5" w:rsidRDefault="00E019BB" w:rsidP="00E517A5">
      <w:pPr>
        <w:pStyle w:val="NormalWeb"/>
        <w:spacing w:before="0" w:beforeAutospacing="0" w:after="0" w:afterAutospacing="0" w:line="360" w:lineRule="auto"/>
        <w:ind w:firstLine="567"/>
        <w:jc w:val="center"/>
        <w:rPr>
          <w:sz w:val="28"/>
          <w:szCs w:val="28"/>
          <w:lang w:eastAsia="en-US"/>
        </w:rPr>
      </w:pPr>
      <w:r w:rsidRPr="00276895">
        <w:rPr>
          <w:noProof/>
          <w:sz w:val="28"/>
          <w:szCs w:val="28"/>
        </w:rPr>
        <w:pict>
          <v:shape id="Рисунок 9" o:spid="_x0000_i1026" type="#_x0000_t75" style="width:382.5pt;height:195pt;visibility:visible">
            <v:imagedata r:id="rId6" o:title=""/>
          </v:shape>
        </w:pict>
      </w:r>
    </w:p>
    <w:p w:rsidR="00E019BB" w:rsidRPr="00E517A5" w:rsidRDefault="00E019BB" w:rsidP="00E517A5">
      <w:pPr>
        <w:pStyle w:val="NormalWeb"/>
        <w:spacing w:before="0" w:beforeAutospacing="0" w:after="0" w:afterAutospacing="0" w:line="360" w:lineRule="auto"/>
        <w:ind w:firstLine="567"/>
        <w:jc w:val="center"/>
        <w:rPr>
          <w:sz w:val="28"/>
          <w:szCs w:val="28"/>
          <w:lang w:eastAsia="en-US"/>
        </w:rPr>
      </w:pPr>
      <w:r w:rsidRPr="00E517A5">
        <w:rPr>
          <w:sz w:val="28"/>
          <w:szCs w:val="28"/>
          <w:lang w:eastAsia="en-US"/>
        </w:rPr>
        <w:t>Рис.2. ВВП на душу населения в ПМР и др. странах.</w:t>
      </w:r>
    </w:p>
    <w:p w:rsidR="00E019BB" w:rsidRPr="00E517A5" w:rsidRDefault="00E019BB" w:rsidP="00E517A5">
      <w:pPr>
        <w:pStyle w:val="NormalWeb"/>
        <w:spacing w:before="0" w:beforeAutospacing="0" w:after="0" w:afterAutospacing="0" w:line="360" w:lineRule="auto"/>
        <w:ind w:firstLine="567"/>
        <w:jc w:val="both"/>
        <w:rPr>
          <w:sz w:val="28"/>
          <w:szCs w:val="28"/>
          <w:lang w:eastAsia="en-US"/>
        </w:rPr>
      </w:pPr>
    </w:p>
    <w:p w:rsidR="00E019BB" w:rsidRPr="00E517A5" w:rsidRDefault="00E019BB" w:rsidP="00E517A5">
      <w:pPr>
        <w:pStyle w:val="NormalWeb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  <w:lang w:eastAsia="en-US"/>
        </w:rPr>
        <w:t xml:space="preserve">Стоит отметить, что такая экономическая ситуация определяет чрезвычайно низкий уровень потребления приднестровской семьи. Объем денежных доходов граждан практически на 85% определяется размером заработной платы, социальных трансфертов (пенсии, пособия и стипендии) и выручки от продажи иностранной валюты. Среднемесячная заработная плата одного работника в целом по республике, включая субъекты малого предпринимательства, не превышает 3000 рублей </w:t>
      </w:r>
      <w:r w:rsidRPr="00E517A5">
        <w:rPr>
          <w:sz w:val="28"/>
          <w:szCs w:val="28"/>
        </w:rPr>
        <w:t>[2]. При этом низкий уровень доходов очень тесно коррелирует показателями рождаемости и миграции в стране.</w:t>
      </w:r>
    </w:p>
    <w:p w:rsidR="00E019BB" w:rsidRPr="00E517A5" w:rsidRDefault="00E019BB" w:rsidP="00E517A5">
      <w:pPr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Для изменения демографической динамики в ПМР, повышения рождаемости, обеспечения в будущем хотя бы простого воспроизводства населения, на наш взгляд, сегодня будет недостаточно мер демографической политики, направленных на создание семьям условий для того, чтобы они могли иметь желаемое число детей и не бояться за завтрашний день. Необходимо найти и реализовать меры, направленные на повышение самого желаемого числа детей, увеличение потребности в детях.</w:t>
      </w:r>
    </w:p>
    <w:p w:rsidR="00E019BB" w:rsidRPr="00E517A5" w:rsidRDefault="00E019BB" w:rsidP="00E517A5">
      <w:pPr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Стабилизировать демографическую обстановку в нашем государстве невозможно без повышения уровня жизни населения, поскольку демографический кризис ограничивает социально-экономическое развитие страны. Кроме повышения уровня благосостояния общества, надо уделить внимание следующим направлениям, которые могут способствовать стабилизации демографической ситуации.</w:t>
      </w:r>
    </w:p>
    <w:p w:rsidR="00E019BB" w:rsidRPr="00E517A5" w:rsidRDefault="00E019BB" w:rsidP="00E517A5">
      <w:pPr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1. Необходимо определить мнения мужчин и женщин о потребностях, перспективах и сдерживающих факторах миграции. Первоочередное внимание в ходе этого процесса необходимо уделять бедным и находящимся в неблагоприятном положении группам населения. </w:t>
      </w:r>
    </w:p>
    <w:p w:rsidR="00E019BB" w:rsidRPr="00E517A5" w:rsidRDefault="00E019BB" w:rsidP="00E517A5">
      <w:pPr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2. В число других факторов по мере необходимости следует включить продовольственную безопасность, обеспечение надежного владения имуществом, доступ к жизненно необходимому жилью и основной инфраструктуре, образованию и социальному обеспечению семей. Также стоит разработать меры, связанные с репродуктивным здоровьем женщин, планы кредитования семей.</w:t>
      </w:r>
    </w:p>
    <w:p w:rsidR="00E019BB" w:rsidRPr="00E517A5" w:rsidRDefault="00E019BB" w:rsidP="00E517A5">
      <w:pPr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3. Государство и общество должно заботиться о повышении роли семьи, т.к. сегодня семья отступает на второй план в системе социально-экономических взаимоотношений человека и общества, играет меньшую роль в организации его общественной жизни. Семья становится по преимуществу малодетной при низкой общей и детской смертности. Растущая стоимость воспитания детей (как прямая, так и косвенная в виде затрат труда взрослых членов семьи и потерь в заработке женщин) при сокращении материальных выгод, получаемых родителями от их труда, при низкой детской смертности делает семью все менее экономически заинтересованной в рождении большого числа детей. Функции воспитания и обучения, организации досуга, социального контроля все более берет на себя общество.</w:t>
      </w:r>
    </w:p>
    <w:p w:rsidR="00E019BB" w:rsidRPr="00E517A5" w:rsidRDefault="00E019BB" w:rsidP="00E517A5">
      <w:pPr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Возможно, данные действия если не увеличат численность населения ПМР, то хотя бы приостановят демографическую убыль и будут способствовать экономическому развитию нашей республики.</w:t>
      </w:r>
    </w:p>
    <w:p w:rsidR="00E019BB" w:rsidRPr="00E517A5" w:rsidRDefault="00E019BB" w:rsidP="00E517A5">
      <w:pPr>
        <w:spacing w:line="360" w:lineRule="auto"/>
        <w:ind w:firstLine="567"/>
        <w:jc w:val="both"/>
        <w:rPr>
          <w:b/>
          <w:bCs/>
          <w:sz w:val="28"/>
          <w:szCs w:val="28"/>
        </w:rPr>
      </w:pPr>
    </w:p>
    <w:p w:rsidR="00E019BB" w:rsidRPr="0050403E" w:rsidRDefault="00E019BB" w:rsidP="0050403E">
      <w:pPr>
        <w:ind w:firstLine="567"/>
        <w:jc w:val="both"/>
        <w:rPr>
          <w:b/>
          <w:bCs/>
          <w:sz w:val="24"/>
          <w:szCs w:val="24"/>
          <w:lang w:val="en-US"/>
        </w:rPr>
      </w:pPr>
      <w:r w:rsidRPr="0050403E">
        <w:rPr>
          <w:b/>
          <w:bCs/>
          <w:sz w:val="24"/>
          <w:szCs w:val="24"/>
        </w:rPr>
        <w:t>Список</w:t>
      </w:r>
      <w:r w:rsidRPr="0050403E">
        <w:rPr>
          <w:b/>
          <w:bCs/>
          <w:sz w:val="24"/>
          <w:szCs w:val="24"/>
          <w:lang w:val="en-US"/>
        </w:rPr>
        <w:t xml:space="preserve"> </w:t>
      </w:r>
      <w:r w:rsidRPr="0050403E">
        <w:rPr>
          <w:b/>
          <w:bCs/>
          <w:sz w:val="24"/>
          <w:szCs w:val="24"/>
        </w:rPr>
        <w:t>литературы</w:t>
      </w:r>
      <w:r w:rsidRPr="0050403E">
        <w:rPr>
          <w:b/>
          <w:bCs/>
          <w:sz w:val="24"/>
          <w:szCs w:val="24"/>
          <w:lang w:val="en-US"/>
        </w:rPr>
        <w:t>:</w:t>
      </w:r>
    </w:p>
    <w:p w:rsidR="00E019BB" w:rsidRPr="0050403E" w:rsidRDefault="00E019BB" w:rsidP="0050403E">
      <w:pPr>
        <w:ind w:firstLine="567"/>
        <w:jc w:val="both"/>
        <w:rPr>
          <w:sz w:val="24"/>
          <w:szCs w:val="24"/>
          <w:lang w:val="en-US"/>
        </w:rPr>
      </w:pPr>
      <w:r w:rsidRPr="0050403E">
        <w:rPr>
          <w:sz w:val="24"/>
          <w:szCs w:val="24"/>
          <w:lang w:val="en-US"/>
        </w:rPr>
        <w:t>1. United Nations, Department of Economic and Social Affairs, Population Division (2009) World Population Prospects: The 2008 Revision: Volume I: Comprehensive Tables</w:t>
      </w:r>
    </w:p>
    <w:p w:rsidR="00E019BB" w:rsidRPr="0050403E" w:rsidRDefault="00E019BB" w:rsidP="0050403E">
      <w:pPr>
        <w:tabs>
          <w:tab w:val="left" w:pos="284"/>
          <w:tab w:val="left" w:pos="426"/>
        </w:tabs>
        <w:ind w:firstLine="567"/>
        <w:jc w:val="both"/>
        <w:rPr>
          <w:sz w:val="24"/>
          <w:szCs w:val="24"/>
          <w:lang w:eastAsia="en-US"/>
        </w:rPr>
      </w:pPr>
      <w:r w:rsidRPr="0050403E">
        <w:rPr>
          <w:sz w:val="24"/>
          <w:szCs w:val="24"/>
        </w:rPr>
        <w:t>2.</w:t>
      </w:r>
      <w:r w:rsidRPr="0050403E">
        <w:rPr>
          <w:sz w:val="24"/>
          <w:szCs w:val="24"/>
          <w:lang w:eastAsia="en-US"/>
        </w:rPr>
        <w:t xml:space="preserve"> Статистический ежегодник Приднестровской молдавской республики – 2012: Статистический сборник (за 2008-2012 гг.) / Государственная служба статистики Приднестровской Молдавской республики – Тирасполь, 2013 – 190 с. </w:t>
      </w:r>
      <w:r w:rsidRPr="0050403E">
        <w:rPr>
          <w:sz w:val="24"/>
          <w:szCs w:val="24"/>
        </w:rPr>
        <w:t xml:space="preserve">[Электронный ресурс]. – Режим доступа: </w:t>
      </w:r>
      <w:r w:rsidRPr="0050403E">
        <w:rPr>
          <w:sz w:val="24"/>
          <w:szCs w:val="24"/>
          <w:lang w:val="en-US" w:eastAsia="en-US"/>
        </w:rPr>
        <w:t>http</w:t>
      </w:r>
      <w:r w:rsidRPr="0050403E">
        <w:rPr>
          <w:sz w:val="24"/>
          <w:szCs w:val="24"/>
          <w:lang w:eastAsia="en-US"/>
        </w:rPr>
        <w:t>://</w:t>
      </w:r>
      <w:r w:rsidRPr="0050403E">
        <w:rPr>
          <w:sz w:val="24"/>
          <w:szCs w:val="24"/>
          <w:lang w:val="en-US" w:eastAsia="en-US"/>
        </w:rPr>
        <w:t>mepmr</w:t>
      </w:r>
      <w:r w:rsidRPr="0050403E">
        <w:rPr>
          <w:sz w:val="24"/>
          <w:szCs w:val="24"/>
          <w:lang w:eastAsia="en-US"/>
        </w:rPr>
        <w:t>.</w:t>
      </w:r>
      <w:r w:rsidRPr="0050403E">
        <w:rPr>
          <w:sz w:val="24"/>
          <w:szCs w:val="24"/>
          <w:lang w:val="en-US" w:eastAsia="en-US"/>
        </w:rPr>
        <w:t>org</w:t>
      </w:r>
      <w:r w:rsidRPr="0050403E">
        <w:rPr>
          <w:sz w:val="24"/>
          <w:szCs w:val="24"/>
          <w:lang w:eastAsia="en-US"/>
        </w:rPr>
        <w:t>/</w:t>
      </w:r>
      <w:r w:rsidRPr="0050403E">
        <w:rPr>
          <w:sz w:val="24"/>
          <w:szCs w:val="24"/>
          <w:lang w:val="en-US" w:eastAsia="en-US"/>
        </w:rPr>
        <w:t>pechatnye</w:t>
      </w:r>
      <w:r w:rsidRPr="0050403E">
        <w:rPr>
          <w:sz w:val="24"/>
          <w:szCs w:val="24"/>
          <w:lang w:eastAsia="en-US"/>
        </w:rPr>
        <w:t>-</w:t>
      </w:r>
      <w:r w:rsidRPr="0050403E">
        <w:rPr>
          <w:sz w:val="24"/>
          <w:szCs w:val="24"/>
          <w:lang w:val="en-US" w:eastAsia="en-US"/>
        </w:rPr>
        <w:t>izdaniya</w:t>
      </w:r>
      <w:r w:rsidRPr="0050403E">
        <w:rPr>
          <w:sz w:val="24"/>
          <w:szCs w:val="24"/>
          <w:lang w:eastAsia="en-US"/>
        </w:rPr>
        <w:t>/</w:t>
      </w:r>
      <w:r w:rsidRPr="0050403E">
        <w:rPr>
          <w:sz w:val="24"/>
          <w:szCs w:val="24"/>
          <w:lang w:val="en-US" w:eastAsia="en-US"/>
        </w:rPr>
        <w:t>statisticheskij</w:t>
      </w:r>
      <w:r w:rsidRPr="0050403E">
        <w:rPr>
          <w:sz w:val="24"/>
          <w:szCs w:val="24"/>
          <w:lang w:eastAsia="en-US"/>
        </w:rPr>
        <w:t>-</w:t>
      </w:r>
      <w:r w:rsidRPr="0050403E">
        <w:rPr>
          <w:sz w:val="24"/>
          <w:szCs w:val="24"/>
          <w:lang w:val="en-US" w:eastAsia="en-US"/>
        </w:rPr>
        <w:t>ezhegodnik</w:t>
      </w:r>
      <w:r w:rsidRPr="0050403E">
        <w:rPr>
          <w:sz w:val="24"/>
          <w:szCs w:val="24"/>
          <w:lang w:eastAsia="en-US"/>
        </w:rPr>
        <w:t>-</w:t>
      </w:r>
      <w:r w:rsidRPr="0050403E">
        <w:rPr>
          <w:sz w:val="24"/>
          <w:szCs w:val="24"/>
          <w:lang w:val="en-US" w:eastAsia="en-US"/>
        </w:rPr>
        <w:t>pmr</w:t>
      </w:r>
    </w:p>
    <w:p w:rsidR="00E019BB" w:rsidRPr="00E517A5" w:rsidRDefault="00E019BB" w:rsidP="00E517A5">
      <w:pPr>
        <w:spacing w:line="360" w:lineRule="auto"/>
        <w:ind w:firstLine="567"/>
        <w:rPr>
          <w:sz w:val="28"/>
          <w:szCs w:val="28"/>
        </w:rPr>
      </w:pPr>
    </w:p>
    <w:p w:rsidR="00E019BB" w:rsidRPr="00203731" w:rsidRDefault="00E019BB" w:rsidP="00203731">
      <w:pPr>
        <w:jc w:val="right"/>
        <w:rPr>
          <w:i/>
          <w:iCs/>
          <w:sz w:val="28"/>
          <w:szCs w:val="28"/>
          <w:lang w:val="en-US"/>
        </w:rPr>
      </w:pPr>
      <w:r w:rsidRPr="00F05533">
        <w:rPr>
          <w:i/>
          <w:iCs/>
          <w:sz w:val="28"/>
          <w:szCs w:val="28"/>
          <w:lang w:val="en-US"/>
        </w:rPr>
        <w:t xml:space="preserve">Guk N.A., Nazarenko I.V. </w:t>
      </w:r>
    </w:p>
    <w:p w:rsidR="00E019BB" w:rsidRPr="00203731" w:rsidRDefault="00E019BB" w:rsidP="00203731">
      <w:pPr>
        <w:jc w:val="right"/>
        <w:rPr>
          <w:i/>
          <w:iCs/>
          <w:sz w:val="28"/>
          <w:szCs w:val="28"/>
          <w:lang w:val="en-US"/>
        </w:rPr>
      </w:pPr>
    </w:p>
    <w:p w:rsidR="00E019BB" w:rsidRPr="00203731" w:rsidRDefault="00E019BB" w:rsidP="00203731">
      <w:pPr>
        <w:jc w:val="center"/>
        <w:rPr>
          <w:rStyle w:val="hps"/>
          <w:b/>
          <w:bCs/>
          <w:sz w:val="28"/>
          <w:szCs w:val="28"/>
          <w:lang w:val="en-US"/>
        </w:rPr>
      </w:pPr>
      <w:r w:rsidRPr="00F05533">
        <w:rPr>
          <w:rStyle w:val="hps"/>
          <w:b/>
          <w:bCs/>
          <w:sz w:val="28"/>
          <w:szCs w:val="28"/>
          <w:lang w:val="en-US"/>
        </w:rPr>
        <w:t>POPULATION</w:t>
      </w:r>
      <w:r w:rsidRPr="00F05533">
        <w:rPr>
          <w:rStyle w:val="shorttext"/>
          <w:b/>
          <w:bCs/>
          <w:sz w:val="28"/>
          <w:szCs w:val="28"/>
          <w:lang w:val="en-US"/>
        </w:rPr>
        <w:t xml:space="preserve"> </w:t>
      </w:r>
      <w:r w:rsidRPr="00F05533">
        <w:rPr>
          <w:rStyle w:val="hps"/>
          <w:b/>
          <w:bCs/>
          <w:sz w:val="28"/>
          <w:szCs w:val="28"/>
          <w:lang w:val="en-US"/>
        </w:rPr>
        <w:t>AND ECONOMIC DEVELOPMENT</w:t>
      </w:r>
      <w:r w:rsidRPr="00F05533">
        <w:rPr>
          <w:rStyle w:val="shorttext"/>
          <w:b/>
          <w:bCs/>
          <w:sz w:val="28"/>
          <w:szCs w:val="28"/>
          <w:lang w:val="en-US"/>
        </w:rPr>
        <w:t xml:space="preserve"> </w:t>
      </w:r>
      <w:r w:rsidRPr="00F05533">
        <w:rPr>
          <w:rStyle w:val="hps"/>
          <w:b/>
          <w:bCs/>
          <w:sz w:val="28"/>
          <w:szCs w:val="28"/>
          <w:lang w:val="en-US"/>
        </w:rPr>
        <w:t>PMR</w:t>
      </w:r>
    </w:p>
    <w:p w:rsidR="00E019BB" w:rsidRPr="00203731" w:rsidRDefault="00E019BB" w:rsidP="00203731">
      <w:pPr>
        <w:jc w:val="center"/>
        <w:rPr>
          <w:rStyle w:val="hps"/>
          <w:b/>
          <w:bCs/>
          <w:sz w:val="28"/>
          <w:szCs w:val="28"/>
          <w:lang w:val="en-US"/>
        </w:rPr>
      </w:pPr>
    </w:p>
    <w:p w:rsidR="00E019BB" w:rsidRPr="00F05533" w:rsidRDefault="00E019BB" w:rsidP="00203731">
      <w:pPr>
        <w:ind w:firstLine="567"/>
        <w:jc w:val="both"/>
        <w:rPr>
          <w:rStyle w:val="hps"/>
          <w:i/>
          <w:iCs/>
          <w:sz w:val="24"/>
          <w:szCs w:val="24"/>
          <w:lang w:val="en-US"/>
        </w:rPr>
      </w:pPr>
      <w:r w:rsidRPr="00F05533">
        <w:rPr>
          <w:rStyle w:val="hps"/>
          <w:i/>
          <w:iCs/>
          <w:sz w:val="24"/>
          <w:szCs w:val="24"/>
          <w:lang w:val="en-US"/>
        </w:rPr>
        <w:t>The article describes the approaches to the analysis of the relationship</w:t>
      </w:r>
      <w:r w:rsidRPr="00F05533">
        <w:rPr>
          <w:i/>
          <w:iCs/>
          <w:sz w:val="24"/>
          <w:szCs w:val="24"/>
          <w:lang w:val="en-US"/>
        </w:rPr>
        <w:t xml:space="preserve"> </w:t>
      </w:r>
      <w:r w:rsidRPr="00F05533">
        <w:rPr>
          <w:rStyle w:val="hps"/>
          <w:i/>
          <w:iCs/>
          <w:sz w:val="24"/>
          <w:szCs w:val="24"/>
          <w:lang w:val="en-US"/>
        </w:rPr>
        <w:t>between</w:t>
      </w:r>
      <w:r w:rsidRPr="00F05533">
        <w:rPr>
          <w:i/>
          <w:iCs/>
          <w:sz w:val="24"/>
          <w:szCs w:val="24"/>
          <w:lang w:val="en-US"/>
        </w:rPr>
        <w:t xml:space="preserve"> </w:t>
      </w:r>
      <w:r w:rsidRPr="00F05533">
        <w:rPr>
          <w:rStyle w:val="hps"/>
          <w:i/>
          <w:iCs/>
          <w:sz w:val="24"/>
          <w:szCs w:val="24"/>
          <w:lang w:val="en-US"/>
        </w:rPr>
        <w:t>population growth and economic</w:t>
      </w:r>
      <w:r w:rsidRPr="00F05533">
        <w:rPr>
          <w:i/>
          <w:iCs/>
          <w:sz w:val="24"/>
          <w:szCs w:val="24"/>
          <w:lang w:val="en-US"/>
        </w:rPr>
        <w:t xml:space="preserve"> </w:t>
      </w:r>
      <w:r w:rsidRPr="00F05533">
        <w:rPr>
          <w:rStyle w:val="hps"/>
          <w:i/>
          <w:iCs/>
          <w:sz w:val="24"/>
          <w:szCs w:val="24"/>
          <w:lang w:val="en-US"/>
        </w:rPr>
        <w:t>development of the state. Real economic</w:t>
      </w:r>
      <w:r w:rsidRPr="00F05533">
        <w:rPr>
          <w:rStyle w:val="shorttext"/>
          <w:i/>
          <w:iCs/>
          <w:sz w:val="24"/>
          <w:szCs w:val="24"/>
          <w:lang w:val="en-US"/>
        </w:rPr>
        <w:t xml:space="preserve"> </w:t>
      </w:r>
      <w:r w:rsidRPr="00F05533">
        <w:rPr>
          <w:rStyle w:val="hps"/>
          <w:i/>
          <w:iCs/>
          <w:sz w:val="24"/>
          <w:szCs w:val="24"/>
          <w:lang w:val="en-US"/>
        </w:rPr>
        <w:t xml:space="preserve">indicators have been compared with the dynamics of population in </w:t>
      </w:r>
      <w:r>
        <w:rPr>
          <w:rStyle w:val="hps"/>
          <w:i/>
          <w:iCs/>
          <w:sz w:val="24"/>
          <w:szCs w:val="24"/>
          <w:lang w:val="en-US"/>
        </w:rPr>
        <w:t>Pridnestrovie</w:t>
      </w:r>
      <w:r w:rsidRPr="00F05533">
        <w:rPr>
          <w:rStyle w:val="hps"/>
          <w:i/>
          <w:iCs/>
          <w:sz w:val="24"/>
          <w:szCs w:val="24"/>
          <w:lang w:val="en-US"/>
        </w:rPr>
        <w:t>. Sets out areas for</w:t>
      </w:r>
      <w:r w:rsidRPr="00F05533">
        <w:rPr>
          <w:i/>
          <w:iCs/>
          <w:sz w:val="24"/>
          <w:szCs w:val="24"/>
          <w:lang w:val="en-US"/>
        </w:rPr>
        <w:t xml:space="preserve"> </w:t>
      </w:r>
      <w:r w:rsidRPr="00F05533">
        <w:rPr>
          <w:rStyle w:val="hps"/>
          <w:i/>
          <w:iCs/>
          <w:sz w:val="24"/>
          <w:szCs w:val="24"/>
          <w:lang w:val="en-US"/>
        </w:rPr>
        <w:t>stabilization of the demographic</w:t>
      </w:r>
      <w:r w:rsidRPr="00F05533">
        <w:rPr>
          <w:i/>
          <w:iCs/>
          <w:sz w:val="24"/>
          <w:szCs w:val="24"/>
          <w:lang w:val="en-US"/>
        </w:rPr>
        <w:t xml:space="preserve"> </w:t>
      </w:r>
      <w:r w:rsidRPr="00F05533">
        <w:rPr>
          <w:rStyle w:val="hps"/>
          <w:i/>
          <w:iCs/>
          <w:sz w:val="24"/>
          <w:szCs w:val="24"/>
          <w:lang w:val="en-US"/>
        </w:rPr>
        <w:t>situation.</w:t>
      </w:r>
    </w:p>
    <w:p w:rsidR="00E019BB" w:rsidRPr="00F05533" w:rsidRDefault="00E019BB" w:rsidP="00203731">
      <w:pPr>
        <w:ind w:firstLine="567"/>
        <w:rPr>
          <w:rStyle w:val="hps"/>
          <w:i/>
          <w:iCs/>
          <w:sz w:val="24"/>
          <w:szCs w:val="24"/>
          <w:lang w:val="en-US"/>
        </w:rPr>
      </w:pPr>
      <w:r w:rsidRPr="00F05533">
        <w:rPr>
          <w:b/>
          <w:bCs/>
          <w:i/>
          <w:iCs/>
          <w:sz w:val="24"/>
          <w:szCs w:val="24"/>
          <w:lang w:val="en-US"/>
        </w:rPr>
        <w:t xml:space="preserve">Key words: </w:t>
      </w:r>
      <w:r w:rsidRPr="00F05533">
        <w:rPr>
          <w:i/>
          <w:iCs/>
          <w:sz w:val="24"/>
          <w:szCs w:val="24"/>
          <w:lang w:val="en-US"/>
        </w:rPr>
        <w:t xml:space="preserve">population, demographic factors, </w:t>
      </w:r>
      <w:r w:rsidRPr="00F05533">
        <w:rPr>
          <w:rStyle w:val="hps"/>
          <w:i/>
          <w:iCs/>
          <w:sz w:val="24"/>
          <w:szCs w:val="24"/>
          <w:lang w:val="en-US"/>
        </w:rPr>
        <w:t>the average monthly salary.</w:t>
      </w:r>
    </w:p>
    <w:p w:rsidR="00E019BB" w:rsidRPr="00203731" w:rsidRDefault="00E019BB" w:rsidP="00E517A5">
      <w:pPr>
        <w:suppressAutoHyphens w:val="0"/>
        <w:spacing w:line="360" w:lineRule="auto"/>
        <w:rPr>
          <w:sz w:val="28"/>
          <w:szCs w:val="28"/>
          <w:lang w:val="en-US"/>
        </w:rPr>
      </w:pPr>
      <w:r w:rsidRPr="00203731">
        <w:rPr>
          <w:sz w:val="28"/>
          <w:szCs w:val="28"/>
          <w:lang w:val="en-US"/>
        </w:rPr>
        <w:br w:type="page"/>
      </w:r>
    </w:p>
    <w:p w:rsidR="00E019BB" w:rsidRPr="00F964EA" w:rsidRDefault="00E019BB" w:rsidP="00F964EA">
      <w:pPr>
        <w:rPr>
          <w:sz w:val="28"/>
          <w:szCs w:val="28"/>
        </w:rPr>
      </w:pPr>
      <w:r>
        <w:rPr>
          <w:sz w:val="28"/>
          <w:szCs w:val="28"/>
        </w:rPr>
        <w:t xml:space="preserve">УДК </w:t>
      </w:r>
      <w:r w:rsidRPr="00517D24">
        <w:rPr>
          <w:sz w:val="28"/>
          <w:szCs w:val="28"/>
        </w:rPr>
        <w:t>378.4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 w:rsidRPr="00E517A5">
        <w:rPr>
          <w:i/>
          <w:iCs/>
          <w:sz w:val="28"/>
          <w:szCs w:val="28"/>
        </w:rPr>
        <w:t>В.И. Аверченков, д.т.н., профессор</w:t>
      </w:r>
    </w:p>
    <w:p w:rsidR="00E019BB" w:rsidRPr="00E517A5" w:rsidRDefault="00E019BB" w:rsidP="00E517A5">
      <w:pPr>
        <w:spacing w:line="360" w:lineRule="auto"/>
        <w:ind w:firstLine="567"/>
        <w:jc w:val="right"/>
        <w:rPr>
          <w:i/>
          <w:iCs/>
          <w:sz w:val="28"/>
          <w:szCs w:val="28"/>
        </w:rPr>
      </w:pPr>
      <w:r w:rsidRPr="00E517A5">
        <w:rPr>
          <w:i/>
          <w:iCs/>
          <w:sz w:val="28"/>
          <w:szCs w:val="28"/>
        </w:rPr>
        <w:t>В.В. Спасенников, д.псих.н., профессор</w:t>
      </w:r>
    </w:p>
    <w:p w:rsidR="00E019BB" w:rsidRPr="00E517A5" w:rsidRDefault="00E019BB" w:rsidP="00E517A5">
      <w:pPr>
        <w:spacing w:line="360" w:lineRule="auto"/>
        <w:ind w:firstLine="567"/>
        <w:jc w:val="right"/>
        <w:rPr>
          <w:rFonts w:eastAsia="SimSun"/>
          <w:i/>
          <w:iCs/>
          <w:sz w:val="28"/>
          <w:szCs w:val="28"/>
          <w:lang w:eastAsia="zh-CN"/>
        </w:rPr>
      </w:pPr>
      <w:r w:rsidRPr="00E517A5">
        <w:rPr>
          <w:rFonts w:eastAsia="SimSun"/>
          <w:i/>
          <w:iCs/>
          <w:sz w:val="28"/>
          <w:szCs w:val="28"/>
          <w:lang w:eastAsia="zh-CN"/>
        </w:rPr>
        <w:t>ФГБОУ ВПО «Брянский государственный технический университет»</w:t>
      </w:r>
    </w:p>
    <w:p w:rsidR="00E019BB" w:rsidRPr="00E517A5" w:rsidRDefault="00E019BB" w:rsidP="00E517A5">
      <w:pPr>
        <w:spacing w:line="360" w:lineRule="auto"/>
        <w:ind w:firstLine="567"/>
        <w:jc w:val="right"/>
        <w:rPr>
          <w:i/>
          <w:iCs/>
          <w:sz w:val="28"/>
          <w:szCs w:val="28"/>
        </w:rPr>
      </w:pPr>
      <w:r w:rsidRPr="00E517A5">
        <w:rPr>
          <w:i/>
          <w:iCs/>
          <w:sz w:val="28"/>
          <w:szCs w:val="28"/>
        </w:rPr>
        <w:t>г</w:t>
      </w:r>
      <w:r w:rsidRPr="00E517A5">
        <w:rPr>
          <w:i/>
          <w:iCs/>
          <w:caps/>
          <w:sz w:val="28"/>
          <w:szCs w:val="28"/>
        </w:rPr>
        <w:t>. Б</w:t>
      </w:r>
      <w:r w:rsidRPr="00E517A5">
        <w:rPr>
          <w:i/>
          <w:iCs/>
          <w:sz w:val="28"/>
          <w:szCs w:val="28"/>
        </w:rPr>
        <w:t>рянск,</w:t>
      </w:r>
      <w:r w:rsidRPr="00E517A5">
        <w:rPr>
          <w:i/>
          <w:iCs/>
          <w:caps/>
          <w:sz w:val="28"/>
          <w:szCs w:val="28"/>
        </w:rPr>
        <w:t xml:space="preserve"> Р</w:t>
      </w:r>
      <w:r w:rsidRPr="00E517A5">
        <w:rPr>
          <w:i/>
          <w:iCs/>
          <w:sz w:val="28"/>
          <w:szCs w:val="28"/>
        </w:rPr>
        <w:t>оссия</w:t>
      </w:r>
    </w:p>
    <w:p w:rsidR="00E019BB" w:rsidRPr="00E517A5" w:rsidRDefault="00E019BB" w:rsidP="00E517A5">
      <w:pPr>
        <w:spacing w:line="360" w:lineRule="auto"/>
        <w:ind w:firstLine="567"/>
        <w:rPr>
          <w:sz w:val="28"/>
          <w:szCs w:val="28"/>
        </w:rPr>
      </w:pPr>
    </w:p>
    <w:p w:rsidR="00E019BB" w:rsidRPr="00E517A5" w:rsidRDefault="00E019BB" w:rsidP="00163A14">
      <w:pPr>
        <w:pStyle w:val="BodyText"/>
        <w:spacing w:after="0" w:line="360" w:lineRule="auto"/>
        <w:jc w:val="center"/>
        <w:rPr>
          <w:b/>
          <w:bCs/>
          <w:sz w:val="28"/>
          <w:szCs w:val="28"/>
        </w:rPr>
      </w:pPr>
      <w:r w:rsidRPr="00E517A5">
        <w:rPr>
          <w:b/>
          <w:bCs/>
          <w:sz w:val="28"/>
          <w:szCs w:val="28"/>
        </w:rPr>
        <w:t>МЕТОДИКА АНАЛИЗА ПРИ ПРОЕКТИРОВАНИИ ОРГАНИЗАЦИОННОЙ СТРУКТУРЫ ПОДРАЗДЕЛЕНИЙ В ТЕХНИЧЕСКОМ УНИВЕРСИТЕТЕ</w:t>
      </w:r>
    </w:p>
    <w:p w:rsidR="00E019BB" w:rsidRPr="00E517A5" w:rsidRDefault="00E019BB" w:rsidP="00E517A5">
      <w:pPr>
        <w:spacing w:line="360" w:lineRule="auto"/>
        <w:ind w:firstLine="567"/>
        <w:jc w:val="both"/>
        <w:rPr>
          <w:sz w:val="28"/>
          <w:szCs w:val="28"/>
        </w:rPr>
      </w:pPr>
    </w:p>
    <w:p w:rsidR="00E019BB" w:rsidRPr="00F05533" w:rsidRDefault="00E019BB" w:rsidP="00F05533">
      <w:pPr>
        <w:ind w:firstLine="567"/>
        <w:jc w:val="both"/>
        <w:rPr>
          <w:i/>
          <w:iCs/>
          <w:sz w:val="24"/>
          <w:szCs w:val="24"/>
        </w:rPr>
      </w:pPr>
      <w:r w:rsidRPr="00F05533">
        <w:rPr>
          <w:i/>
          <w:iCs/>
          <w:sz w:val="24"/>
          <w:szCs w:val="24"/>
        </w:rPr>
        <w:t>Рассмотрена концептуальная модель исследования качества инженерного образования в Брянском государственном техническом университете.</w:t>
      </w:r>
    </w:p>
    <w:p w:rsidR="00E019BB" w:rsidRDefault="00E019BB" w:rsidP="00F05533">
      <w:pPr>
        <w:ind w:firstLine="567"/>
        <w:jc w:val="both"/>
        <w:rPr>
          <w:i/>
          <w:iCs/>
          <w:sz w:val="28"/>
          <w:szCs w:val="28"/>
        </w:rPr>
      </w:pPr>
      <w:r w:rsidRPr="00F05533">
        <w:rPr>
          <w:b/>
          <w:bCs/>
          <w:i/>
          <w:iCs/>
          <w:sz w:val="24"/>
          <w:szCs w:val="24"/>
        </w:rPr>
        <w:t>Ключевые слова:</w:t>
      </w:r>
      <w:r w:rsidRPr="00F05533">
        <w:rPr>
          <w:i/>
          <w:iCs/>
          <w:sz w:val="24"/>
          <w:szCs w:val="24"/>
        </w:rPr>
        <w:t xml:space="preserve"> качество инженерного образования, реструктуризация, функциональная модель, образовательная организация.</w:t>
      </w:r>
    </w:p>
    <w:p w:rsidR="00E019BB" w:rsidRDefault="00E019BB" w:rsidP="00E517A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</w:p>
    <w:p w:rsidR="00E019BB" w:rsidRPr="00203731" w:rsidRDefault="00E019BB" w:rsidP="00E57DA1">
      <w:pPr>
        <w:spacing w:line="360" w:lineRule="auto"/>
        <w:ind w:firstLine="567"/>
        <w:jc w:val="both"/>
        <w:rPr>
          <w:i/>
          <w:iCs/>
          <w:sz w:val="28"/>
          <w:szCs w:val="28"/>
          <w:lang w:val="en-US"/>
        </w:rPr>
      </w:pPr>
    </w:p>
    <w:p w:rsidR="00E019BB" w:rsidRPr="00E517A5" w:rsidRDefault="00E019BB" w:rsidP="00E517A5">
      <w:pPr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Оценка деятельности образовательной организации и ее структурных подразделений требует многоуровневого и многокритериального подхода. В качестве субъектов оценки могут выступать как звенья системы управления и представляющие их должностные лица, так и контрагенты: учредители, работодатели, студенты, магистры, аспиранты. Показатели, формирующие результаты оценки, должны быть детализированы на нижнем уровне системы управления образовательной деятельностью, затем их необходимо обобщать и агрегировать.</w:t>
      </w:r>
    </w:p>
    <w:p w:rsidR="00E019BB" w:rsidRPr="00E517A5" w:rsidRDefault="00E019BB" w:rsidP="00E517A5">
      <w:pPr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Концептуальная модель исследования качеств инженерного образования и реструктуризации структуры технического университета была рассмотрена на примере Брянского государственного технического университета.</w:t>
      </w:r>
    </w:p>
    <w:p w:rsidR="00E019BB" w:rsidRPr="00E517A5" w:rsidRDefault="00E019BB" w:rsidP="00E517A5">
      <w:pPr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В процессе исследования предполагается решить следующие основные задачи [1, 2]:</w:t>
      </w:r>
    </w:p>
    <w:p w:rsidR="00E019BB" w:rsidRPr="00E517A5" w:rsidRDefault="00E019BB" w:rsidP="00E517A5">
      <w:pPr>
        <w:pStyle w:val="ListParagraph"/>
        <w:numPr>
          <w:ilvl w:val="0"/>
          <w:numId w:val="1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E517A5">
        <w:rPr>
          <w:rFonts w:ascii="Times New Roman" w:hAnsi="Times New Roman" w:cs="Times New Roman"/>
          <w:snapToGrid w:val="0"/>
          <w:sz w:val="28"/>
          <w:szCs w:val="28"/>
        </w:rPr>
        <w:t>Реализовать более полную увязку рынка труда с рынком образовательных услуг.</w:t>
      </w:r>
    </w:p>
    <w:p w:rsidR="00E019BB" w:rsidRPr="00E517A5" w:rsidRDefault="00E019BB" w:rsidP="00E517A5">
      <w:pPr>
        <w:pStyle w:val="ListParagraph"/>
        <w:numPr>
          <w:ilvl w:val="0"/>
          <w:numId w:val="1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E517A5">
        <w:rPr>
          <w:rFonts w:ascii="Times New Roman" w:hAnsi="Times New Roman" w:cs="Times New Roman"/>
          <w:snapToGrid w:val="0"/>
          <w:sz w:val="28"/>
          <w:szCs w:val="28"/>
        </w:rPr>
        <w:t>Создать условия на местах постоянной адаптации студентов к социальному запросу востребованных инженерно-экономических и управленческих и технических специальностей.</w:t>
      </w:r>
    </w:p>
    <w:p w:rsidR="00E019BB" w:rsidRPr="00E517A5" w:rsidRDefault="00E019BB" w:rsidP="00E517A5">
      <w:pPr>
        <w:pStyle w:val="ListParagraph"/>
        <w:numPr>
          <w:ilvl w:val="0"/>
          <w:numId w:val="1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E517A5">
        <w:rPr>
          <w:rFonts w:ascii="Times New Roman" w:hAnsi="Times New Roman" w:cs="Times New Roman"/>
          <w:snapToGrid w:val="0"/>
          <w:sz w:val="28"/>
          <w:szCs w:val="28"/>
        </w:rPr>
        <w:t>Использовать выгодное геополитическое положение региона при выборе специальностей (направлений) по подготовке выпускников.</w:t>
      </w:r>
    </w:p>
    <w:p w:rsidR="00E019BB" w:rsidRPr="00E517A5" w:rsidRDefault="00E019BB" w:rsidP="00E517A5">
      <w:pPr>
        <w:pStyle w:val="ListParagraph"/>
        <w:numPr>
          <w:ilvl w:val="0"/>
          <w:numId w:val="1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E517A5">
        <w:rPr>
          <w:rFonts w:ascii="Times New Roman" w:hAnsi="Times New Roman" w:cs="Times New Roman"/>
          <w:snapToGrid w:val="0"/>
          <w:sz w:val="28"/>
          <w:szCs w:val="28"/>
        </w:rPr>
        <w:t>Осуществить учет запросов потребителей в текущих и перспективных образовательных услугах (мобильность в системе подготовки специалистов).</w:t>
      </w:r>
    </w:p>
    <w:p w:rsidR="00E019BB" w:rsidRPr="00E517A5" w:rsidRDefault="00E019BB" w:rsidP="00E517A5">
      <w:pPr>
        <w:pStyle w:val="ListParagraph"/>
        <w:numPr>
          <w:ilvl w:val="0"/>
          <w:numId w:val="1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E517A5">
        <w:rPr>
          <w:rFonts w:ascii="Times New Roman" w:hAnsi="Times New Roman" w:cs="Times New Roman"/>
          <w:snapToGrid w:val="0"/>
          <w:sz w:val="28"/>
          <w:szCs w:val="28"/>
        </w:rPr>
        <w:t>Обосновать функциональную модель процесса оценки уровня образовательных услуг.</w:t>
      </w:r>
    </w:p>
    <w:p w:rsidR="00E019BB" w:rsidRPr="00E517A5" w:rsidRDefault="00E019BB" w:rsidP="00E517A5">
      <w:pPr>
        <w:pStyle w:val="ListParagraph"/>
        <w:numPr>
          <w:ilvl w:val="0"/>
          <w:numId w:val="1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E517A5">
        <w:rPr>
          <w:rFonts w:ascii="Times New Roman" w:hAnsi="Times New Roman" w:cs="Times New Roman"/>
          <w:snapToGrid w:val="0"/>
          <w:sz w:val="28"/>
          <w:szCs w:val="28"/>
        </w:rPr>
        <w:t>Осуществить декомпозицию контекстной диаграммы функциональной модели уровня образовательных услуг.</w:t>
      </w:r>
    </w:p>
    <w:p w:rsidR="00E019BB" w:rsidRPr="00E517A5" w:rsidRDefault="00E019BB" w:rsidP="00E517A5">
      <w:pPr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Общая стратегия построения рассматриваемой модели  приведена на рис. 1.</w:t>
      </w:r>
    </w:p>
    <w:p w:rsidR="00E019BB" w:rsidRPr="00E517A5" w:rsidRDefault="00E019BB" w:rsidP="00E517A5">
      <w:pPr>
        <w:spacing w:line="360" w:lineRule="auto"/>
        <w:jc w:val="center"/>
        <w:rPr>
          <w:sz w:val="28"/>
          <w:szCs w:val="28"/>
        </w:rPr>
      </w:pPr>
      <w:r w:rsidRPr="00276895">
        <w:rPr>
          <w:noProof/>
          <w:sz w:val="28"/>
          <w:szCs w:val="28"/>
          <w:lang w:eastAsia="ru-RU"/>
        </w:rPr>
        <w:pict>
          <v:shape id="Рисунок 1" o:spid="_x0000_i1027" type="#_x0000_t75" style="width:283.5pt;height:237pt;visibility:visible">
            <v:imagedata r:id="rId7" o:title=""/>
          </v:shape>
        </w:pict>
      </w:r>
    </w:p>
    <w:p w:rsidR="00E019BB" w:rsidRPr="00E517A5" w:rsidRDefault="00E019BB" w:rsidP="00E517A5">
      <w:pPr>
        <w:spacing w:line="360" w:lineRule="auto"/>
        <w:jc w:val="center"/>
        <w:rPr>
          <w:sz w:val="28"/>
          <w:szCs w:val="28"/>
        </w:rPr>
      </w:pPr>
      <w:r w:rsidRPr="00E517A5">
        <w:rPr>
          <w:sz w:val="28"/>
          <w:szCs w:val="28"/>
        </w:rPr>
        <w:t>Рис.1. Концептуальная модель реструктуризации на основе анализа качества образовательных услуг</w:t>
      </w:r>
    </w:p>
    <w:p w:rsidR="00E019BB" w:rsidRPr="00E517A5" w:rsidRDefault="00E019BB" w:rsidP="00E517A5">
      <w:pPr>
        <w:widowControl w:val="0"/>
        <w:autoSpaceDE w:val="0"/>
        <w:autoSpaceDN w:val="0"/>
        <w:adjustRightInd w:val="0"/>
        <w:spacing w:line="360" w:lineRule="auto"/>
        <w:ind w:firstLine="567"/>
        <w:jc w:val="both"/>
        <w:rPr>
          <w:sz w:val="28"/>
          <w:szCs w:val="28"/>
        </w:rPr>
      </w:pPr>
      <w:r>
        <w:rPr>
          <w:rFonts w:eastAsia="Batang"/>
          <w:sz w:val="28"/>
          <w:szCs w:val="28"/>
        </w:rPr>
        <w:t>Для того</w:t>
      </w:r>
      <w:r w:rsidRPr="00E517A5">
        <w:rPr>
          <w:rFonts w:eastAsia="Batang"/>
          <w:sz w:val="28"/>
          <w:szCs w:val="28"/>
        </w:rPr>
        <w:t xml:space="preserve"> чтобы структурировать задачу оценки качества образовательной услуги, использовался минимаксный критерий, вычислялись несоответствия или рассогласования (коэффициент </w:t>
      </w:r>
      <w:r w:rsidRPr="00E517A5">
        <w:rPr>
          <w:rFonts w:eastAsia="Batang"/>
          <w:sz w:val="28"/>
          <w:szCs w:val="28"/>
          <w:lang w:val="en-US"/>
        </w:rPr>
        <w:t>δ</w:t>
      </w:r>
      <w:r w:rsidRPr="00E517A5">
        <w:rPr>
          <w:rFonts w:eastAsia="Batang"/>
          <w:sz w:val="28"/>
          <w:szCs w:val="28"/>
        </w:rPr>
        <w:t xml:space="preserve">) между тем, как оценивает качество образовательной услуги сам вуз, и тем, как её воспринимает целевой рынок в лице работодателей, как оценивают уровень своих знаний выпускники и какими они видятся работодателям, как потенциальные возможности вуза соотносятся с требованиями международных, региональных, местных стандартов. Для того, чтобы результаты оценки были наглядны и удобны для анализа, было рекомендовано использовать матрицу (табл.1), в которую сводятся рассчитанные величины </w:t>
      </w:r>
      <w:r w:rsidRPr="00E517A5">
        <w:rPr>
          <w:rFonts w:eastAsia="Batang"/>
          <w:sz w:val="28"/>
          <w:szCs w:val="28"/>
          <w:lang w:val="en-US"/>
        </w:rPr>
        <w:t>δ</w:t>
      </w:r>
      <w:r w:rsidRPr="00E517A5">
        <w:rPr>
          <w:rFonts w:eastAsia="Batang"/>
          <w:sz w:val="28"/>
          <w:szCs w:val="28"/>
          <w:vertAlign w:val="subscript"/>
          <w:lang w:val="en-US"/>
        </w:rPr>
        <w:t>ij</w:t>
      </w:r>
      <w:r w:rsidRPr="00E517A5">
        <w:rPr>
          <w:sz w:val="28"/>
          <w:szCs w:val="28"/>
        </w:rPr>
        <w:t>.</w:t>
      </w:r>
    </w:p>
    <w:p w:rsidR="00E019BB" w:rsidRPr="00E517A5" w:rsidRDefault="00E019BB" w:rsidP="00E517A5">
      <w:pPr>
        <w:widowControl w:val="0"/>
        <w:autoSpaceDE w:val="0"/>
        <w:autoSpaceDN w:val="0"/>
        <w:adjustRightInd w:val="0"/>
        <w:spacing w:line="360" w:lineRule="auto"/>
        <w:ind w:firstLine="567"/>
        <w:jc w:val="right"/>
        <w:rPr>
          <w:sz w:val="28"/>
          <w:szCs w:val="28"/>
        </w:rPr>
      </w:pPr>
      <w:r w:rsidRPr="00E517A5">
        <w:rPr>
          <w:sz w:val="28"/>
          <w:szCs w:val="28"/>
        </w:rPr>
        <w:t>Таблица 1</w:t>
      </w:r>
    </w:p>
    <w:p w:rsidR="00E019BB" w:rsidRPr="00E517A5" w:rsidRDefault="00E019BB" w:rsidP="00E517A5">
      <w:pPr>
        <w:widowControl w:val="0"/>
        <w:autoSpaceDE w:val="0"/>
        <w:autoSpaceDN w:val="0"/>
        <w:adjustRightInd w:val="0"/>
        <w:spacing w:line="360" w:lineRule="auto"/>
        <w:ind w:firstLine="567"/>
        <w:jc w:val="center"/>
        <w:rPr>
          <w:sz w:val="28"/>
          <w:szCs w:val="28"/>
        </w:rPr>
      </w:pPr>
      <w:r w:rsidRPr="00E517A5">
        <w:rPr>
          <w:sz w:val="28"/>
          <w:szCs w:val="28"/>
        </w:rPr>
        <w:t>Матрица оценки значений рассогласований</w:t>
      </w:r>
    </w:p>
    <w:tbl>
      <w:tblPr>
        <w:tblW w:w="8930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758"/>
        <w:gridCol w:w="1800"/>
        <w:gridCol w:w="925"/>
        <w:gridCol w:w="1063"/>
        <w:gridCol w:w="742"/>
        <w:gridCol w:w="1384"/>
        <w:gridCol w:w="1124"/>
        <w:gridCol w:w="1134"/>
      </w:tblGrid>
      <w:tr w:rsidR="00E019BB" w:rsidRPr="00E517A5">
        <w:trPr>
          <w:trHeight w:val="20"/>
        </w:trPr>
        <w:tc>
          <w:tcPr>
            <w:tcW w:w="2558" w:type="dxa"/>
            <w:gridSpan w:val="2"/>
            <w:vMerge w:val="restart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>Субъект оценивания</w:t>
            </w:r>
          </w:p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 xml:space="preserve">Объект оценивания </w:t>
            </w:r>
          </w:p>
        </w:tc>
        <w:tc>
          <w:tcPr>
            <w:tcW w:w="925" w:type="dxa"/>
            <w:vMerge w:val="restart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 xml:space="preserve">Студент i=1 </w:t>
            </w:r>
          </w:p>
        </w:tc>
        <w:tc>
          <w:tcPr>
            <w:tcW w:w="1063" w:type="dxa"/>
            <w:vMerge w:val="restart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 xml:space="preserve">Работодатель i=2 </w:t>
            </w:r>
          </w:p>
        </w:tc>
        <w:tc>
          <w:tcPr>
            <w:tcW w:w="742" w:type="dxa"/>
            <w:vMerge w:val="restart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 xml:space="preserve">ВУЗ i=3 </w:t>
            </w:r>
          </w:p>
        </w:tc>
        <w:tc>
          <w:tcPr>
            <w:tcW w:w="3642" w:type="dxa"/>
            <w:gridSpan w:val="3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 xml:space="preserve">Стандарты </w:t>
            </w:r>
          </w:p>
        </w:tc>
      </w:tr>
      <w:tr w:rsidR="00E019BB" w:rsidRPr="00E517A5">
        <w:trPr>
          <w:trHeight w:val="20"/>
        </w:trPr>
        <w:tc>
          <w:tcPr>
            <w:tcW w:w="2558" w:type="dxa"/>
            <w:gridSpan w:val="2"/>
            <w:vMerge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25" w:type="dxa"/>
            <w:vMerge/>
            <w:vAlign w:val="center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63" w:type="dxa"/>
            <w:vMerge/>
            <w:vAlign w:val="center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742" w:type="dxa"/>
            <w:vMerge/>
            <w:vAlign w:val="center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38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 xml:space="preserve">Международный i=4 </w:t>
            </w:r>
          </w:p>
        </w:tc>
        <w:tc>
          <w:tcPr>
            <w:tcW w:w="112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 xml:space="preserve">Федеральный i=5 </w:t>
            </w:r>
          </w:p>
        </w:tc>
        <w:tc>
          <w:tcPr>
            <w:tcW w:w="113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 xml:space="preserve">Местный i=6 </w:t>
            </w:r>
          </w:p>
        </w:tc>
      </w:tr>
      <w:tr w:rsidR="00E019BB" w:rsidRPr="00E517A5">
        <w:trPr>
          <w:trHeight w:val="20"/>
        </w:trPr>
        <w:tc>
          <w:tcPr>
            <w:tcW w:w="2558" w:type="dxa"/>
            <w:gridSpan w:val="2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 xml:space="preserve">Студент j=1 </w:t>
            </w:r>
          </w:p>
        </w:tc>
        <w:tc>
          <w:tcPr>
            <w:tcW w:w="925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11</w:t>
            </w:r>
          </w:p>
        </w:tc>
        <w:tc>
          <w:tcPr>
            <w:tcW w:w="1063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21</w:t>
            </w:r>
          </w:p>
        </w:tc>
        <w:tc>
          <w:tcPr>
            <w:tcW w:w="742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31</w:t>
            </w:r>
          </w:p>
        </w:tc>
        <w:tc>
          <w:tcPr>
            <w:tcW w:w="138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41</w:t>
            </w:r>
          </w:p>
        </w:tc>
        <w:tc>
          <w:tcPr>
            <w:tcW w:w="112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51</w:t>
            </w:r>
          </w:p>
        </w:tc>
        <w:tc>
          <w:tcPr>
            <w:tcW w:w="113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61</w:t>
            </w:r>
          </w:p>
        </w:tc>
      </w:tr>
      <w:tr w:rsidR="00E019BB" w:rsidRPr="00E517A5">
        <w:trPr>
          <w:trHeight w:val="20"/>
        </w:trPr>
        <w:tc>
          <w:tcPr>
            <w:tcW w:w="2558" w:type="dxa"/>
            <w:gridSpan w:val="2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 xml:space="preserve">Работодатель j=2 </w:t>
            </w:r>
          </w:p>
        </w:tc>
        <w:tc>
          <w:tcPr>
            <w:tcW w:w="925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12</w:t>
            </w:r>
          </w:p>
        </w:tc>
        <w:tc>
          <w:tcPr>
            <w:tcW w:w="1063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22</w:t>
            </w:r>
          </w:p>
        </w:tc>
        <w:tc>
          <w:tcPr>
            <w:tcW w:w="742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32</w:t>
            </w:r>
          </w:p>
        </w:tc>
        <w:tc>
          <w:tcPr>
            <w:tcW w:w="138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42</w:t>
            </w:r>
          </w:p>
        </w:tc>
        <w:tc>
          <w:tcPr>
            <w:tcW w:w="112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52</w:t>
            </w:r>
          </w:p>
        </w:tc>
        <w:tc>
          <w:tcPr>
            <w:tcW w:w="113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62</w:t>
            </w:r>
          </w:p>
        </w:tc>
      </w:tr>
      <w:tr w:rsidR="00E019BB" w:rsidRPr="00E517A5">
        <w:trPr>
          <w:trHeight w:val="20"/>
        </w:trPr>
        <w:tc>
          <w:tcPr>
            <w:tcW w:w="2558" w:type="dxa"/>
            <w:gridSpan w:val="2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 xml:space="preserve">ВУЗ j=3 </w:t>
            </w:r>
          </w:p>
        </w:tc>
        <w:tc>
          <w:tcPr>
            <w:tcW w:w="925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13</w:t>
            </w:r>
          </w:p>
        </w:tc>
        <w:tc>
          <w:tcPr>
            <w:tcW w:w="1063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23</w:t>
            </w:r>
          </w:p>
        </w:tc>
        <w:tc>
          <w:tcPr>
            <w:tcW w:w="742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33</w:t>
            </w:r>
          </w:p>
        </w:tc>
        <w:tc>
          <w:tcPr>
            <w:tcW w:w="138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43</w:t>
            </w:r>
          </w:p>
        </w:tc>
        <w:tc>
          <w:tcPr>
            <w:tcW w:w="112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53</w:t>
            </w:r>
          </w:p>
        </w:tc>
        <w:tc>
          <w:tcPr>
            <w:tcW w:w="113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63</w:t>
            </w:r>
          </w:p>
        </w:tc>
      </w:tr>
      <w:tr w:rsidR="00E019BB" w:rsidRPr="00E517A5">
        <w:trPr>
          <w:trHeight w:val="20"/>
        </w:trPr>
        <w:tc>
          <w:tcPr>
            <w:tcW w:w="758" w:type="dxa"/>
            <w:vMerge w:val="restart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 xml:space="preserve">Стандарты </w:t>
            </w:r>
          </w:p>
        </w:tc>
        <w:tc>
          <w:tcPr>
            <w:tcW w:w="1800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 xml:space="preserve">Международный j=4 </w:t>
            </w:r>
          </w:p>
        </w:tc>
        <w:tc>
          <w:tcPr>
            <w:tcW w:w="925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14</w:t>
            </w:r>
          </w:p>
        </w:tc>
        <w:tc>
          <w:tcPr>
            <w:tcW w:w="1063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24</w:t>
            </w:r>
          </w:p>
        </w:tc>
        <w:tc>
          <w:tcPr>
            <w:tcW w:w="742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34</w:t>
            </w:r>
          </w:p>
        </w:tc>
        <w:tc>
          <w:tcPr>
            <w:tcW w:w="138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44</w:t>
            </w:r>
          </w:p>
        </w:tc>
        <w:tc>
          <w:tcPr>
            <w:tcW w:w="112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54</w:t>
            </w:r>
          </w:p>
        </w:tc>
        <w:tc>
          <w:tcPr>
            <w:tcW w:w="113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64</w:t>
            </w:r>
          </w:p>
        </w:tc>
      </w:tr>
      <w:tr w:rsidR="00E019BB" w:rsidRPr="00E517A5">
        <w:trPr>
          <w:trHeight w:val="20"/>
        </w:trPr>
        <w:tc>
          <w:tcPr>
            <w:tcW w:w="758" w:type="dxa"/>
            <w:vMerge/>
            <w:vAlign w:val="center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 xml:space="preserve">Федеральный j=5 </w:t>
            </w:r>
          </w:p>
        </w:tc>
        <w:tc>
          <w:tcPr>
            <w:tcW w:w="925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15</w:t>
            </w:r>
          </w:p>
        </w:tc>
        <w:tc>
          <w:tcPr>
            <w:tcW w:w="1063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25</w:t>
            </w:r>
          </w:p>
        </w:tc>
        <w:tc>
          <w:tcPr>
            <w:tcW w:w="742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35</w:t>
            </w:r>
          </w:p>
        </w:tc>
        <w:tc>
          <w:tcPr>
            <w:tcW w:w="138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45</w:t>
            </w:r>
          </w:p>
        </w:tc>
        <w:tc>
          <w:tcPr>
            <w:tcW w:w="112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55</w:t>
            </w:r>
          </w:p>
        </w:tc>
        <w:tc>
          <w:tcPr>
            <w:tcW w:w="113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65</w:t>
            </w:r>
          </w:p>
        </w:tc>
      </w:tr>
      <w:tr w:rsidR="00E019BB" w:rsidRPr="00E517A5">
        <w:trPr>
          <w:trHeight w:val="20"/>
        </w:trPr>
        <w:tc>
          <w:tcPr>
            <w:tcW w:w="758" w:type="dxa"/>
            <w:vMerge/>
            <w:vAlign w:val="center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z w:val="28"/>
                <w:szCs w:val="28"/>
              </w:rPr>
              <w:t xml:space="preserve">Местный j=6 </w:t>
            </w:r>
          </w:p>
        </w:tc>
        <w:tc>
          <w:tcPr>
            <w:tcW w:w="925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16</w:t>
            </w:r>
          </w:p>
        </w:tc>
        <w:tc>
          <w:tcPr>
            <w:tcW w:w="1063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26</w:t>
            </w:r>
          </w:p>
        </w:tc>
        <w:tc>
          <w:tcPr>
            <w:tcW w:w="742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36</w:t>
            </w:r>
          </w:p>
        </w:tc>
        <w:tc>
          <w:tcPr>
            <w:tcW w:w="138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46</w:t>
            </w:r>
          </w:p>
        </w:tc>
        <w:tc>
          <w:tcPr>
            <w:tcW w:w="112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56</w:t>
            </w:r>
          </w:p>
        </w:tc>
        <w:tc>
          <w:tcPr>
            <w:tcW w:w="1134" w:type="dxa"/>
          </w:tcPr>
          <w:p w:rsidR="00E019BB" w:rsidRPr="00E517A5" w:rsidRDefault="00E019BB" w:rsidP="00E517A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517A5">
              <w:rPr>
                <w:snapToGrid w:val="0"/>
                <w:sz w:val="28"/>
                <w:szCs w:val="28"/>
                <w:lang w:val="en-US"/>
              </w:rPr>
              <w:t>δ</w:t>
            </w:r>
            <w:r w:rsidRPr="00E517A5">
              <w:rPr>
                <w:sz w:val="28"/>
                <w:szCs w:val="28"/>
                <w:vertAlign w:val="subscript"/>
              </w:rPr>
              <w:t>66</w:t>
            </w:r>
          </w:p>
        </w:tc>
      </w:tr>
    </w:tbl>
    <w:p w:rsidR="00E019BB" w:rsidRPr="00E517A5" w:rsidRDefault="00E019BB" w:rsidP="00E517A5">
      <w:pPr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rFonts w:eastAsia="Batang"/>
          <w:sz w:val="28"/>
          <w:szCs w:val="28"/>
        </w:rPr>
        <w:t xml:space="preserve">Данные из таблицы затем оформлялись в виде матрицы коэффициентов, с помощью которых можно извлечь много полезной информации. Для определённости будем считать, что коэффициенты </w:t>
      </w:r>
      <w:r w:rsidRPr="00E517A5">
        <w:rPr>
          <w:rFonts w:eastAsia="Batang"/>
          <w:sz w:val="28"/>
          <w:szCs w:val="28"/>
          <w:lang w:val="en-US"/>
        </w:rPr>
        <w:t>δ</w:t>
      </w:r>
      <w:r w:rsidRPr="00E517A5">
        <w:rPr>
          <w:rFonts w:eastAsia="Batang"/>
          <w:sz w:val="28"/>
          <w:szCs w:val="28"/>
          <w:vertAlign w:val="subscript"/>
          <w:lang w:val="en-US"/>
        </w:rPr>
        <w:t>ij</w:t>
      </w:r>
      <w:r w:rsidRPr="00E517A5">
        <w:rPr>
          <w:rFonts w:eastAsia="Batang"/>
          <w:sz w:val="28"/>
          <w:szCs w:val="28"/>
        </w:rPr>
        <w:t xml:space="preserve"> выражены в относительных единицах и что 0 &lt; </w:t>
      </w:r>
      <w:r w:rsidRPr="00E517A5">
        <w:rPr>
          <w:rFonts w:eastAsia="Batang"/>
          <w:sz w:val="28"/>
          <w:szCs w:val="28"/>
          <w:lang w:val="en-US"/>
        </w:rPr>
        <w:t>δ</w:t>
      </w:r>
      <w:r w:rsidRPr="00E517A5">
        <w:rPr>
          <w:rFonts w:eastAsia="Batang"/>
          <w:sz w:val="28"/>
          <w:szCs w:val="28"/>
          <w:vertAlign w:val="subscript"/>
          <w:lang w:val="en-US"/>
        </w:rPr>
        <w:t>ij</w:t>
      </w:r>
      <w:r w:rsidRPr="00E517A5">
        <w:rPr>
          <w:rFonts w:eastAsia="Batang"/>
          <w:sz w:val="28"/>
          <w:szCs w:val="28"/>
        </w:rPr>
        <w:t xml:space="preserve"> &lt; 1. Крайние значения отбрасываются как тенденциозные или являющиеся результатам погрешности исследования. Чем меньше </w:t>
      </w:r>
      <w:r w:rsidRPr="00E517A5">
        <w:rPr>
          <w:rFonts w:eastAsia="Batang"/>
          <w:sz w:val="28"/>
          <w:szCs w:val="28"/>
          <w:lang w:val="en-US"/>
        </w:rPr>
        <w:t>δ</w:t>
      </w:r>
      <w:r w:rsidRPr="00E517A5">
        <w:rPr>
          <w:rFonts w:eastAsia="Batang"/>
          <w:sz w:val="28"/>
          <w:szCs w:val="28"/>
          <w:vertAlign w:val="subscript"/>
          <w:lang w:val="en-US"/>
        </w:rPr>
        <w:t>ij</w:t>
      </w:r>
      <w:r w:rsidRPr="00E517A5">
        <w:rPr>
          <w:rFonts w:eastAsia="Batang"/>
          <w:sz w:val="28"/>
          <w:szCs w:val="28"/>
        </w:rPr>
        <w:t xml:space="preserve">, тем меньше рассогласование между тем, какими видят себя все заинтересованные стороны. Большое значение рассогласования говорит о претензиях сторон и является сигналом к внесению необходимых изменений в организацию своей деятельности. Таблица 1 показывает слабые места в вузе. Можно исследовать каждую </w:t>
      </w:r>
      <w:r w:rsidRPr="00E517A5">
        <w:rPr>
          <w:rFonts w:eastAsia="Batang"/>
          <w:sz w:val="28"/>
          <w:szCs w:val="28"/>
          <w:lang w:val="en-US"/>
        </w:rPr>
        <w:t>δ</w:t>
      </w:r>
      <w:r w:rsidRPr="00E517A5">
        <w:rPr>
          <w:rFonts w:eastAsia="Batang"/>
          <w:sz w:val="28"/>
          <w:szCs w:val="28"/>
          <w:vertAlign w:val="subscript"/>
          <w:lang w:val="en-US"/>
        </w:rPr>
        <w:t>ij</w:t>
      </w:r>
      <w:r w:rsidRPr="00E517A5">
        <w:rPr>
          <w:rFonts w:eastAsia="Batang"/>
          <w:sz w:val="28"/>
          <w:szCs w:val="28"/>
        </w:rPr>
        <w:t xml:space="preserve"> в отдельности и по её величине судить о качестве заинтересовавшего показателя. Можно проводить попарную оценку рассогласований, (например, сравнивая </w:t>
      </w:r>
      <w:r w:rsidRPr="00E517A5">
        <w:rPr>
          <w:rFonts w:eastAsia="Batang"/>
          <w:sz w:val="28"/>
          <w:szCs w:val="28"/>
          <w:lang w:val="en-US"/>
        </w:rPr>
        <w:t>δ</w:t>
      </w:r>
      <w:r w:rsidRPr="00E517A5">
        <w:rPr>
          <w:rFonts w:eastAsia="Batang"/>
          <w:sz w:val="28"/>
          <w:szCs w:val="28"/>
          <w:vertAlign w:val="subscript"/>
        </w:rPr>
        <w:t>21</w:t>
      </w:r>
      <w:r w:rsidRPr="00E517A5">
        <w:rPr>
          <w:rFonts w:eastAsia="Batang"/>
          <w:sz w:val="28"/>
          <w:szCs w:val="28"/>
        </w:rPr>
        <w:t xml:space="preserve"> и </w:t>
      </w:r>
      <w:r w:rsidRPr="00E517A5">
        <w:rPr>
          <w:rFonts w:eastAsia="Batang"/>
          <w:sz w:val="28"/>
          <w:szCs w:val="28"/>
          <w:lang w:val="en-US"/>
        </w:rPr>
        <w:t>δ</w:t>
      </w:r>
      <w:r w:rsidRPr="00E517A5">
        <w:rPr>
          <w:rFonts w:eastAsia="Batang"/>
          <w:sz w:val="28"/>
          <w:szCs w:val="28"/>
          <w:vertAlign w:val="subscript"/>
        </w:rPr>
        <w:t>12</w:t>
      </w:r>
      <w:r w:rsidRPr="00E517A5">
        <w:rPr>
          <w:rFonts w:eastAsia="Batang"/>
          <w:sz w:val="28"/>
          <w:szCs w:val="28"/>
        </w:rPr>
        <w:t xml:space="preserve">, судить о степени расхождения во взглядах двух противоположных сторон и сделать заключение о том, какими видят они друг друга). Сравнивая диагональные элементы таблицы с другими элементами строки или столбца, можно определить расхождение между самооценкой и оценкой сторонних наблюдателей. Чем меньше разница ∆ = </w:t>
      </w:r>
      <w:r w:rsidRPr="00E517A5">
        <w:rPr>
          <w:rFonts w:eastAsia="Batang"/>
          <w:sz w:val="28"/>
          <w:szCs w:val="28"/>
          <w:lang w:val="en-US"/>
        </w:rPr>
        <w:t>δ</w:t>
      </w:r>
      <w:r w:rsidRPr="00E517A5">
        <w:rPr>
          <w:rFonts w:eastAsia="Batang"/>
          <w:sz w:val="28"/>
          <w:szCs w:val="28"/>
          <w:vertAlign w:val="subscript"/>
          <w:lang w:val="en-US"/>
        </w:rPr>
        <w:t>ji</w:t>
      </w:r>
      <w:r w:rsidRPr="00E517A5">
        <w:rPr>
          <w:rFonts w:eastAsia="Batang"/>
          <w:sz w:val="28"/>
          <w:szCs w:val="28"/>
        </w:rPr>
        <w:t xml:space="preserve"> - </w:t>
      </w:r>
      <w:r w:rsidRPr="00E517A5">
        <w:rPr>
          <w:rFonts w:eastAsia="Batang"/>
          <w:sz w:val="28"/>
          <w:szCs w:val="28"/>
          <w:lang w:val="en-US"/>
        </w:rPr>
        <w:t>δ</w:t>
      </w:r>
      <w:r w:rsidRPr="00E517A5">
        <w:rPr>
          <w:rFonts w:eastAsia="Batang"/>
          <w:sz w:val="28"/>
          <w:szCs w:val="28"/>
          <w:vertAlign w:val="subscript"/>
          <w:lang w:val="en-US"/>
        </w:rPr>
        <w:t>ij</w:t>
      </w:r>
      <w:r w:rsidRPr="00E517A5">
        <w:rPr>
          <w:rFonts w:eastAsia="Batang"/>
          <w:sz w:val="28"/>
          <w:szCs w:val="28"/>
        </w:rPr>
        <w:t xml:space="preserve">, </w:t>
      </w:r>
      <w:r w:rsidRPr="00E517A5">
        <w:rPr>
          <w:rFonts w:eastAsia="Batang"/>
          <w:spacing w:val="-20"/>
          <w:sz w:val="28"/>
          <w:szCs w:val="28"/>
        </w:rPr>
        <w:t>тем</w:t>
      </w:r>
      <w:r w:rsidRPr="00E517A5">
        <w:rPr>
          <w:rFonts w:eastAsia="Batang"/>
          <w:sz w:val="28"/>
          <w:szCs w:val="28"/>
        </w:rPr>
        <w:t xml:space="preserve"> объективнее оценка. Если ∆</w:t>
      </w:r>
      <w:r w:rsidRPr="00E517A5">
        <w:rPr>
          <w:sz w:val="28"/>
          <w:szCs w:val="28"/>
        </w:rPr>
        <w:t xml:space="preserve"> </w:t>
      </w:r>
      <w:r w:rsidRPr="00E517A5">
        <w:rPr>
          <w:rFonts w:eastAsia="Batang"/>
          <w:sz w:val="28"/>
          <w:szCs w:val="28"/>
        </w:rPr>
        <w:t>велика, стоит преобразовать систему управления образовательной организации.</w:t>
      </w:r>
    </w:p>
    <w:p w:rsidR="00E019BB" w:rsidRPr="00E517A5" w:rsidRDefault="00E019BB" w:rsidP="00E517A5">
      <w:pPr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В процессе организации и приведения инновационно-обучающей игры на основе использования изложенного подхода был разработан проект организационной структуры научно-образовательной организации БГТУ ряда новых факультетов, и дано обоснование их организации.</w:t>
      </w:r>
    </w:p>
    <w:p w:rsidR="00E019BB" w:rsidRPr="00E517A5" w:rsidRDefault="00E019BB" w:rsidP="00E517A5">
      <w:pPr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 xml:space="preserve">Приведенный анализ показал, что основной сложностью в процессе реструктуризации структуры университета является отсутствие необходимых партнерских отношений между ведущими кафедрами, а так же организационные сложности, связанные с выборными технологиями в управленческой команде (директора института, факультетов и их заместителей). Целесообразно управленческую команду сформировать из разных структурных подразделений с учетом профессионально-квалифицированного уровня компетенций не только заведующих кафедрами, но и руководителей научно-исследовательских лабораторий. </w:t>
      </w:r>
    </w:p>
    <w:p w:rsidR="00E019BB" w:rsidRPr="00E517A5" w:rsidRDefault="00E019BB" w:rsidP="00E517A5">
      <w:pPr>
        <w:spacing w:line="360" w:lineRule="auto"/>
        <w:ind w:firstLine="567"/>
        <w:jc w:val="both"/>
        <w:rPr>
          <w:sz w:val="28"/>
          <w:szCs w:val="28"/>
        </w:rPr>
      </w:pPr>
      <w:r w:rsidRPr="00E517A5">
        <w:rPr>
          <w:sz w:val="28"/>
          <w:szCs w:val="28"/>
        </w:rPr>
        <w:t>Организация новых более эффективных структур университета должна осуществлять подготовку к оценочной деятельности, отслеживанию четкости исполнения команд на основе обеспечения всех участников процесса реструктуризации необходимой объективной информацией. Перспективными направлениями развития технического университета являются создание современной материально-технической базы лабораторий, структуры нормативно-правового обеспечения управленческой деятельности, мониторингового сопровождения качества учебного процесса и формирование кадрового состава, соответствующего современным требованиям.</w:t>
      </w:r>
    </w:p>
    <w:p w:rsidR="00E019BB" w:rsidRPr="00E517A5" w:rsidRDefault="00E019BB" w:rsidP="00E517A5">
      <w:pPr>
        <w:spacing w:line="360" w:lineRule="auto"/>
        <w:ind w:firstLine="567"/>
        <w:jc w:val="center"/>
        <w:rPr>
          <w:sz w:val="28"/>
          <w:szCs w:val="28"/>
        </w:rPr>
      </w:pPr>
    </w:p>
    <w:p w:rsidR="00E019BB" w:rsidRPr="0050403E" w:rsidRDefault="00E019BB" w:rsidP="0050403E">
      <w:pPr>
        <w:ind w:firstLine="567"/>
        <w:jc w:val="both"/>
        <w:rPr>
          <w:b/>
          <w:bCs/>
          <w:sz w:val="24"/>
          <w:szCs w:val="24"/>
        </w:rPr>
      </w:pPr>
      <w:r w:rsidRPr="0050403E">
        <w:rPr>
          <w:b/>
          <w:bCs/>
          <w:sz w:val="24"/>
          <w:szCs w:val="24"/>
        </w:rPr>
        <w:t>Список литературы:</w:t>
      </w:r>
    </w:p>
    <w:p w:rsidR="00E019BB" w:rsidRPr="0050403E" w:rsidRDefault="00E019BB" w:rsidP="0050403E">
      <w:pPr>
        <w:numPr>
          <w:ilvl w:val="0"/>
          <w:numId w:val="2"/>
        </w:numPr>
        <w:tabs>
          <w:tab w:val="left" w:pos="851"/>
        </w:tabs>
        <w:suppressAutoHyphens w:val="0"/>
        <w:ind w:left="0" w:firstLine="567"/>
        <w:jc w:val="both"/>
        <w:rPr>
          <w:sz w:val="24"/>
          <w:szCs w:val="24"/>
        </w:rPr>
      </w:pPr>
      <w:r w:rsidRPr="0050403E">
        <w:rPr>
          <w:sz w:val="24"/>
          <w:szCs w:val="24"/>
        </w:rPr>
        <w:t>Аверченков В.И. Инновационный менеджмент / В.И. Аверченков, Е.Е. Ваинмаер. – М. Изд-во «Флинта», 2008. – 360 с.</w:t>
      </w:r>
    </w:p>
    <w:p w:rsidR="00E019BB" w:rsidRPr="0050403E" w:rsidRDefault="00E019BB" w:rsidP="0050403E">
      <w:pPr>
        <w:numPr>
          <w:ilvl w:val="0"/>
          <w:numId w:val="2"/>
        </w:numPr>
        <w:tabs>
          <w:tab w:val="left" w:pos="851"/>
        </w:tabs>
        <w:suppressAutoHyphens w:val="0"/>
        <w:ind w:left="0" w:firstLine="567"/>
        <w:jc w:val="both"/>
        <w:rPr>
          <w:sz w:val="24"/>
          <w:szCs w:val="24"/>
        </w:rPr>
      </w:pPr>
      <w:r w:rsidRPr="0050403E">
        <w:rPr>
          <w:sz w:val="24"/>
          <w:szCs w:val="24"/>
        </w:rPr>
        <w:t xml:space="preserve">Экономическая психология инновационного менеджмента // Материалы Международной научно-практической конференции / под ред. В.И. Аверченкова, В.В. Спасенникова. – Брянск: БГТУ, 2010. –194 с. </w:t>
      </w:r>
    </w:p>
    <w:p w:rsidR="00E019BB" w:rsidRDefault="00E019BB" w:rsidP="00E517A5">
      <w:pPr>
        <w:spacing w:line="360" w:lineRule="auto"/>
        <w:rPr>
          <w:sz w:val="28"/>
          <w:szCs w:val="28"/>
          <w:lang w:val="en-US"/>
        </w:rPr>
      </w:pPr>
    </w:p>
    <w:p w:rsidR="00E019BB" w:rsidRPr="00203731" w:rsidRDefault="00E019BB" w:rsidP="00203731">
      <w:pPr>
        <w:spacing w:line="360" w:lineRule="auto"/>
        <w:ind w:firstLine="567"/>
        <w:jc w:val="right"/>
        <w:rPr>
          <w:i/>
          <w:iCs/>
          <w:sz w:val="28"/>
          <w:szCs w:val="28"/>
          <w:lang w:val="en-US"/>
        </w:rPr>
      </w:pPr>
      <w:r w:rsidRPr="00E57DA1">
        <w:rPr>
          <w:i/>
          <w:iCs/>
          <w:sz w:val="28"/>
          <w:szCs w:val="28"/>
          <w:lang w:val="en-US"/>
        </w:rPr>
        <w:t>Averchenkov V.I., Spasennikov V.V.</w:t>
      </w:r>
    </w:p>
    <w:p w:rsidR="00E019BB" w:rsidRPr="00203731" w:rsidRDefault="00E019BB" w:rsidP="00203731">
      <w:pPr>
        <w:spacing w:line="360" w:lineRule="auto"/>
        <w:ind w:firstLine="567"/>
        <w:jc w:val="center"/>
        <w:rPr>
          <w:b/>
          <w:bCs/>
          <w:sz w:val="28"/>
          <w:szCs w:val="28"/>
          <w:lang w:val="en-US"/>
        </w:rPr>
      </w:pPr>
    </w:p>
    <w:p w:rsidR="00E019BB" w:rsidRPr="00F05533" w:rsidRDefault="00E019BB" w:rsidP="00203731">
      <w:pPr>
        <w:spacing w:line="360" w:lineRule="auto"/>
        <w:jc w:val="center"/>
        <w:rPr>
          <w:b/>
          <w:bCs/>
          <w:sz w:val="28"/>
          <w:szCs w:val="28"/>
          <w:lang w:val="en-US"/>
        </w:rPr>
      </w:pPr>
      <w:r w:rsidRPr="00F05533">
        <w:rPr>
          <w:b/>
          <w:bCs/>
          <w:sz w:val="28"/>
          <w:szCs w:val="28"/>
          <w:lang w:val="en-US"/>
        </w:rPr>
        <w:t>METHODS OF ANALYSIS FOR THE DESIGN OF THE ORGANIZATIONAL STRUCTURE OF UNITS IN THE TECHNICAL UNIVERSITY</w:t>
      </w:r>
    </w:p>
    <w:p w:rsidR="00E019BB" w:rsidRPr="00F05533" w:rsidRDefault="00E019BB" w:rsidP="00203731">
      <w:pPr>
        <w:ind w:firstLine="567"/>
        <w:jc w:val="both"/>
        <w:rPr>
          <w:i/>
          <w:iCs/>
          <w:sz w:val="24"/>
          <w:szCs w:val="24"/>
          <w:lang w:val="en-US"/>
        </w:rPr>
      </w:pPr>
      <w:r w:rsidRPr="00F05533">
        <w:rPr>
          <w:i/>
          <w:iCs/>
          <w:sz w:val="24"/>
          <w:szCs w:val="24"/>
          <w:lang w:val="en-US"/>
        </w:rPr>
        <w:t xml:space="preserve">The conceptual model of research of quality of engineering education in Bryansk </w:t>
      </w:r>
      <w:r>
        <w:rPr>
          <w:i/>
          <w:iCs/>
          <w:sz w:val="24"/>
          <w:szCs w:val="24"/>
          <w:lang w:val="en-US"/>
        </w:rPr>
        <w:t>the state technical university</w:t>
      </w:r>
      <w:r w:rsidRPr="00163A14">
        <w:rPr>
          <w:i/>
          <w:iCs/>
          <w:sz w:val="24"/>
          <w:szCs w:val="24"/>
          <w:lang w:val="en-US"/>
        </w:rPr>
        <w:t xml:space="preserve"> </w:t>
      </w:r>
      <w:r w:rsidRPr="00F05533">
        <w:rPr>
          <w:i/>
          <w:iCs/>
          <w:sz w:val="24"/>
          <w:szCs w:val="24"/>
          <w:lang w:val="en-US"/>
        </w:rPr>
        <w:t xml:space="preserve">is carried out. </w:t>
      </w:r>
    </w:p>
    <w:p w:rsidR="00E019BB" w:rsidRPr="00203731" w:rsidRDefault="00E019BB" w:rsidP="00203731">
      <w:pPr>
        <w:ind w:firstLine="567"/>
        <w:jc w:val="both"/>
        <w:rPr>
          <w:i/>
          <w:iCs/>
          <w:sz w:val="24"/>
          <w:szCs w:val="24"/>
          <w:lang w:val="en-US"/>
        </w:rPr>
      </w:pPr>
      <w:r w:rsidRPr="00F05533">
        <w:rPr>
          <w:b/>
          <w:bCs/>
          <w:i/>
          <w:iCs/>
          <w:sz w:val="24"/>
          <w:szCs w:val="24"/>
          <w:lang w:val="en-US"/>
        </w:rPr>
        <w:t>Key words:</w:t>
      </w:r>
      <w:r w:rsidRPr="00F05533">
        <w:rPr>
          <w:i/>
          <w:iCs/>
          <w:sz w:val="24"/>
          <w:szCs w:val="24"/>
          <w:lang w:val="en-US"/>
        </w:rPr>
        <w:t xml:space="preserve"> quality of engineering education, restructuring, functional model, scientific and educational organization.</w:t>
      </w:r>
    </w:p>
    <w:p w:rsidR="00E019BB" w:rsidRPr="00203731" w:rsidRDefault="00E019BB" w:rsidP="00E517A5">
      <w:pPr>
        <w:spacing w:line="360" w:lineRule="auto"/>
        <w:rPr>
          <w:sz w:val="28"/>
          <w:szCs w:val="28"/>
          <w:lang w:val="en-US"/>
        </w:rPr>
      </w:pPr>
    </w:p>
    <w:sectPr w:rsidR="00E019BB" w:rsidRPr="00203731" w:rsidSect="00F912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imSun">
    <w:altName w:val="§­§°§®§Ц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Batang">
    <w:altName w:val="ўа¬»¬¦¬ў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B11E2E"/>
    <w:multiLevelType w:val="hybridMultilevel"/>
    <w:tmpl w:val="A1B2DC36"/>
    <w:lvl w:ilvl="0" w:tplc="A9F6E21A">
      <w:start w:val="1"/>
      <w:numFmt w:val="decimal"/>
      <w:lvlText w:val="%1."/>
      <w:lvlJc w:val="left"/>
      <w:pPr>
        <w:ind w:left="1185" w:hanging="48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ascii="Times New Roman" w:hAnsi="Times New Roman" w:cs="Times New Roman"/>
      </w:rPr>
    </w:lvl>
  </w:abstractNum>
  <w:abstractNum w:abstractNumId="1">
    <w:nsid w:val="5FE23904"/>
    <w:multiLevelType w:val="hybridMultilevel"/>
    <w:tmpl w:val="0978962E"/>
    <w:lvl w:ilvl="0" w:tplc="0419000F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517A5"/>
    <w:rsid w:val="00013315"/>
    <w:rsid w:val="00015975"/>
    <w:rsid w:val="00017D2E"/>
    <w:rsid w:val="00025531"/>
    <w:rsid w:val="00026108"/>
    <w:rsid w:val="000559DE"/>
    <w:rsid w:val="00066770"/>
    <w:rsid w:val="00074390"/>
    <w:rsid w:val="00075BFA"/>
    <w:rsid w:val="00076F8D"/>
    <w:rsid w:val="000823E3"/>
    <w:rsid w:val="00085CED"/>
    <w:rsid w:val="0009365C"/>
    <w:rsid w:val="000A08AF"/>
    <w:rsid w:val="000C1F4E"/>
    <w:rsid w:val="000D326C"/>
    <w:rsid w:val="000F1652"/>
    <w:rsid w:val="000F4F78"/>
    <w:rsid w:val="0010432F"/>
    <w:rsid w:val="00104F55"/>
    <w:rsid w:val="001122F7"/>
    <w:rsid w:val="00137F7B"/>
    <w:rsid w:val="00144939"/>
    <w:rsid w:val="00146E4E"/>
    <w:rsid w:val="0015761A"/>
    <w:rsid w:val="00160852"/>
    <w:rsid w:val="00163A14"/>
    <w:rsid w:val="0016527F"/>
    <w:rsid w:val="00173EFC"/>
    <w:rsid w:val="00173EFE"/>
    <w:rsid w:val="00181C3A"/>
    <w:rsid w:val="00185F66"/>
    <w:rsid w:val="00190CE6"/>
    <w:rsid w:val="00193EF7"/>
    <w:rsid w:val="001B2447"/>
    <w:rsid w:val="001C4206"/>
    <w:rsid w:val="001C70C9"/>
    <w:rsid w:val="001E5C22"/>
    <w:rsid w:val="00203731"/>
    <w:rsid w:val="00205FBF"/>
    <w:rsid w:val="00206F2D"/>
    <w:rsid w:val="00207949"/>
    <w:rsid w:val="00234D48"/>
    <w:rsid w:val="00276895"/>
    <w:rsid w:val="00282A90"/>
    <w:rsid w:val="002A5B18"/>
    <w:rsid w:val="002C18CF"/>
    <w:rsid w:val="002E51E7"/>
    <w:rsid w:val="002E6A5D"/>
    <w:rsid w:val="002E7A47"/>
    <w:rsid w:val="002F43D7"/>
    <w:rsid w:val="00306D5A"/>
    <w:rsid w:val="003541F2"/>
    <w:rsid w:val="003661FD"/>
    <w:rsid w:val="003B1B8E"/>
    <w:rsid w:val="003C3D37"/>
    <w:rsid w:val="003D7186"/>
    <w:rsid w:val="003E79B1"/>
    <w:rsid w:val="003F5EF0"/>
    <w:rsid w:val="00402EC4"/>
    <w:rsid w:val="00413C46"/>
    <w:rsid w:val="004155DC"/>
    <w:rsid w:val="00437838"/>
    <w:rsid w:val="00444787"/>
    <w:rsid w:val="004500AB"/>
    <w:rsid w:val="004503A2"/>
    <w:rsid w:val="00452D8C"/>
    <w:rsid w:val="0047214A"/>
    <w:rsid w:val="004A02FE"/>
    <w:rsid w:val="004E482F"/>
    <w:rsid w:val="004E6395"/>
    <w:rsid w:val="00500E1C"/>
    <w:rsid w:val="0050403E"/>
    <w:rsid w:val="00517CB2"/>
    <w:rsid w:val="00517D24"/>
    <w:rsid w:val="00524E68"/>
    <w:rsid w:val="00527267"/>
    <w:rsid w:val="00534D6A"/>
    <w:rsid w:val="005422CE"/>
    <w:rsid w:val="00542E9F"/>
    <w:rsid w:val="005726B5"/>
    <w:rsid w:val="0059456E"/>
    <w:rsid w:val="005C1D0B"/>
    <w:rsid w:val="005D537F"/>
    <w:rsid w:val="005E228B"/>
    <w:rsid w:val="005F3E8F"/>
    <w:rsid w:val="00613600"/>
    <w:rsid w:val="006376C9"/>
    <w:rsid w:val="00642807"/>
    <w:rsid w:val="006516EB"/>
    <w:rsid w:val="00661189"/>
    <w:rsid w:val="00664DA0"/>
    <w:rsid w:val="006917AF"/>
    <w:rsid w:val="00696D84"/>
    <w:rsid w:val="006976FF"/>
    <w:rsid w:val="006A0206"/>
    <w:rsid w:val="006A7490"/>
    <w:rsid w:val="006B32FD"/>
    <w:rsid w:val="006D58BD"/>
    <w:rsid w:val="006E03BF"/>
    <w:rsid w:val="006E5C95"/>
    <w:rsid w:val="00701C42"/>
    <w:rsid w:val="00746A2D"/>
    <w:rsid w:val="007532F2"/>
    <w:rsid w:val="007545D2"/>
    <w:rsid w:val="00756180"/>
    <w:rsid w:val="00772BB5"/>
    <w:rsid w:val="00791813"/>
    <w:rsid w:val="007A2E3C"/>
    <w:rsid w:val="007A7924"/>
    <w:rsid w:val="007B4931"/>
    <w:rsid w:val="007D6BFA"/>
    <w:rsid w:val="007E785C"/>
    <w:rsid w:val="00807491"/>
    <w:rsid w:val="00813991"/>
    <w:rsid w:val="008165C7"/>
    <w:rsid w:val="0083206A"/>
    <w:rsid w:val="00834A06"/>
    <w:rsid w:val="0084429D"/>
    <w:rsid w:val="00850223"/>
    <w:rsid w:val="008515E0"/>
    <w:rsid w:val="00851B01"/>
    <w:rsid w:val="008535F3"/>
    <w:rsid w:val="00892E4E"/>
    <w:rsid w:val="008936B5"/>
    <w:rsid w:val="008B0F8E"/>
    <w:rsid w:val="008B3679"/>
    <w:rsid w:val="008C1AED"/>
    <w:rsid w:val="008D4D22"/>
    <w:rsid w:val="008E10ED"/>
    <w:rsid w:val="008F0AB7"/>
    <w:rsid w:val="008F3FA0"/>
    <w:rsid w:val="008F4887"/>
    <w:rsid w:val="008F78BD"/>
    <w:rsid w:val="00933975"/>
    <w:rsid w:val="00970C00"/>
    <w:rsid w:val="00975673"/>
    <w:rsid w:val="009920F9"/>
    <w:rsid w:val="009A56A5"/>
    <w:rsid w:val="009A595C"/>
    <w:rsid w:val="009D0423"/>
    <w:rsid w:val="009D1DE7"/>
    <w:rsid w:val="009E2035"/>
    <w:rsid w:val="009E61A4"/>
    <w:rsid w:val="009F24D3"/>
    <w:rsid w:val="00A02E4D"/>
    <w:rsid w:val="00A756AB"/>
    <w:rsid w:val="00A8068F"/>
    <w:rsid w:val="00A80A8B"/>
    <w:rsid w:val="00A830B8"/>
    <w:rsid w:val="00A86267"/>
    <w:rsid w:val="00A97CEA"/>
    <w:rsid w:val="00AB0B37"/>
    <w:rsid w:val="00AE2A1E"/>
    <w:rsid w:val="00AE47DD"/>
    <w:rsid w:val="00AF5574"/>
    <w:rsid w:val="00B02A94"/>
    <w:rsid w:val="00B1609E"/>
    <w:rsid w:val="00B30BAB"/>
    <w:rsid w:val="00B51D9C"/>
    <w:rsid w:val="00B6671B"/>
    <w:rsid w:val="00B66D59"/>
    <w:rsid w:val="00B769D8"/>
    <w:rsid w:val="00B85A26"/>
    <w:rsid w:val="00BD0F38"/>
    <w:rsid w:val="00BD25DA"/>
    <w:rsid w:val="00BD7D3C"/>
    <w:rsid w:val="00BE1C17"/>
    <w:rsid w:val="00C13E71"/>
    <w:rsid w:val="00C3228C"/>
    <w:rsid w:val="00C552EB"/>
    <w:rsid w:val="00CA4F0F"/>
    <w:rsid w:val="00CB61DF"/>
    <w:rsid w:val="00CD74BC"/>
    <w:rsid w:val="00CE357C"/>
    <w:rsid w:val="00D03FCD"/>
    <w:rsid w:val="00D060B4"/>
    <w:rsid w:val="00D37C70"/>
    <w:rsid w:val="00D40027"/>
    <w:rsid w:val="00D45C88"/>
    <w:rsid w:val="00D47B02"/>
    <w:rsid w:val="00D77191"/>
    <w:rsid w:val="00D9658A"/>
    <w:rsid w:val="00D96C0F"/>
    <w:rsid w:val="00DA2DA5"/>
    <w:rsid w:val="00DB6D1F"/>
    <w:rsid w:val="00DD2B9F"/>
    <w:rsid w:val="00DD3115"/>
    <w:rsid w:val="00DF1F32"/>
    <w:rsid w:val="00DF4B6B"/>
    <w:rsid w:val="00DF59E7"/>
    <w:rsid w:val="00E019BB"/>
    <w:rsid w:val="00E01E8F"/>
    <w:rsid w:val="00E30F1F"/>
    <w:rsid w:val="00E500CE"/>
    <w:rsid w:val="00E517A5"/>
    <w:rsid w:val="00E5433B"/>
    <w:rsid w:val="00E57DA1"/>
    <w:rsid w:val="00E6537C"/>
    <w:rsid w:val="00ED1590"/>
    <w:rsid w:val="00EE66E3"/>
    <w:rsid w:val="00EF0F05"/>
    <w:rsid w:val="00F05533"/>
    <w:rsid w:val="00F11250"/>
    <w:rsid w:val="00F1351C"/>
    <w:rsid w:val="00F91200"/>
    <w:rsid w:val="00F964EA"/>
    <w:rsid w:val="00F96F14"/>
    <w:rsid w:val="00FB57A0"/>
    <w:rsid w:val="00FC43C2"/>
    <w:rsid w:val="00FD5668"/>
    <w:rsid w:val="00FD66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7A5"/>
    <w:pPr>
      <w:suppressAutoHyphens/>
    </w:pPr>
    <w:rPr>
      <w:rFonts w:ascii="Times New Roman" w:hAnsi="Times New Roman"/>
      <w:color w:val="000000"/>
      <w:sz w:val="20"/>
      <w:szCs w:val="20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E517A5"/>
    <w:pPr>
      <w:suppressAutoHyphens w:val="0"/>
      <w:spacing w:before="100" w:beforeAutospacing="1" w:after="100" w:afterAutospacing="1"/>
    </w:pPr>
    <w:rPr>
      <w:color w:val="auto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E517A5"/>
    <w:pPr>
      <w:suppressAutoHyphens w:val="0"/>
      <w:spacing w:after="200"/>
    </w:pPr>
    <w:rPr>
      <w:rFonts w:ascii="Calibri" w:hAnsi="Calibri" w:cs="Calibri"/>
      <w:b/>
      <w:bCs/>
      <w:color w:val="4F81BD"/>
      <w:sz w:val="18"/>
      <w:szCs w:val="18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E517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517A5"/>
    <w:rPr>
      <w:rFonts w:ascii="Tahoma" w:hAnsi="Tahoma" w:cs="Tahoma"/>
      <w:color w:val="000000"/>
      <w:sz w:val="16"/>
      <w:szCs w:val="16"/>
      <w:lang w:eastAsia="ar-SA" w:bidi="ar-SA"/>
    </w:rPr>
  </w:style>
  <w:style w:type="paragraph" w:styleId="ListParagraph">
    <w:name w:val="List Paragraph"/>
    <w:basedOn w:val="Normal"/>
    <w:uiPriority w:val="99"/>
    <w:qFormat/>
    <w:rsid w:val="00E517A5"/>
    <w:pPr>
      <w:suppressAutoHyphens w:val="0"/>
      <w:spacing w:after="200" w:line="276" w:lineRule="auto"/>
      <w:ind w:left="720"/>
    </w:pPr>
    <w:rPr>
      <w:rFonts w:ascii="Calibri" w:hAnsi="Calibri" w:cs="Calibri"/>
      <w:color w:val="auto"/>
      <w:sz w:val="22"/>
      <w:szCs w:val="22"/>
      <w:lang w:eastAsia="en-US"/>
    </w:rPr>
  </w:style>
  <w:style w:type="paragraph" w:styleId="BodyText">
    <w:name w:val="Body Text"/>
    <w:basedOn w:val="Normal"/>
    <w:link w:val="BodyTextChar"/>
    <w:uiPriority w:val="99"/>
    <w:rsid w:val="00E517A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E517A5"/>
    <w:rPr>
      <w:rFonts w:ascii="Times New Roman" w:hAnsi="Times New Roman" w:cs="Times New Roman"/>
      <w:color w:val="000000"/>
      <w:sz w:val="24"/>
      <w:szCs w:val="24"/>
      <w:lang w:eastAsia="ar-SA" w:bidi="ar-SA"/>
    </w:rPr>
  </w:style>
  <w:style w:type="character" w:customStyle="1" w:styleId="hps">
    <w:name w:val="hps"/>
    <w:basedOn w:val="DefaultParagraphFont"/>
    <w:uiPriority w:val="99"/>
    <w:rsid w:val="00E57DA1"/>
  </w:style>
  <w:style w:type="character" w:customStyle="1" w:styleId="shorttext">
    <w:name w:val="short_text"/>
    <w:basedOn w:val="DefaultParagraphFont"/>
    <w:uiPriority w:val="99"/>
    <w:rsid w:val="00E57DA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78</TotalTime>
  <Pages>12</Pages>
  <Words>2411</Words>
  <Characters>13743</Characters>
  <Application>Microsoft Office Outlook</Application>
  <DocSecurity>0</DocSecurity>
  <Lines>0</Lines>
  <Paragraphs>0</Paragraphs>
  <ScaleCrop>false</ScaleCrop>
  <Company>Krokoz™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</dc:creator>
  <cp:keywords/>
  <dc:description/>
  <cp:lastModifiedBy>user</cp:lastModifiedBy>
  <cp:revision>7</cp:revision>
  <dcterms:created xsi:type="dcterms:W3CDTF">2014-09-06T11:05:00Z</dcterms:created>
  <dcterms:modified xsi:type="dcterms:W3CDTF">2014-09-08T07:45:00Z</dcterms:modified>
</cp:coreProperties>
</file>